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AF955" w14:textId="4F5E41CA" w:rsidR="00BE1B91" w:rsidRPr="000E6CEC" w:rsidRDefault="002A7210" w:rsidP="004A34E8">
      <w:pPr>
        <w:jc w:val="center"/>
        <w:rPr>
          <w:b/>
          <w:bCs/>
          <w:sz w:val="28"/>
          <w:szCs w:val="28"/>
        </w:rPr>
      </w:pPr>
      <w:r w:rsidRPr="000E6CEC">
        <w:rPr>
          <w:b/>
          <w:bCs/>
          <w:sz w:val="28"/>
          <w:szCs w:val="28"/>
        </w:rPr>
        <w:t xml:space="preserve">BẢNG TỔNG HỢP </w:t>
      </w:r>
    </w:p>
    <w:p w14:paraId="6E218847" w14:textId="6F695905" w:rsidR="00BE1B91" w:rsidRPr="000E6CEC" w:rsidRDefault="003E43D1" w:rsidP="000E6CEC">
      <w:pPr>
        <w:jc w:val="center"/>
        <w:rPr>
          <w:b/>
          <w:bCs/>
          <w:sz w:val="28"/>
          <w:szCs w:val="28"/>
        </w:rPr>
      </w:pPr>
      <w:r w:rsidRPr="000E6CEC">
        <w:rPr>
          <w:b/>
          <w:bCs/>
          <w:sz w:val="28"/>
          <w:szCs w:val="28"/>
        </w:rPr>
        <w:t xml:space="preserve">Giải trình, tiếp thu ý kiến đối với dự thảo nghị quyết </w:t>
      </w:r>
      <w:bookmarkStart w:id="0" w:name="_Hlk179898131"/>
      <w:r w:rsidR="000E6CEC" w:rsidRPr="000E6CEC">
        <w:rPr>
          <w:b/>
          <w:bCs/>
          <w:sz w:val="28"/>
          <w:szCs w:val="28"/>
        </w:rPr>
        <w:t>Q</w:t>
      </w:r>
      <w:r w:rsidR="000E6CEC" w:rsidRPr="000E6CEC">
        <w:rPr>
          <w:b/>
          <w:bCs/>
          <w:sz w:val="28"/>
          <w:szCs w:val="28"/>
          <w:lang w:val="vi-VN"/>
        </w:rPr>
        <w:t xml:space="preserve">uy định </w:t>
      </w:r>
      <w:bookmarkStart w:id="1" w:name="_Hlk179898114"/>
      <w:bookmarkEnd w:id="0"/>
      <w:r w:rsidR="000E6CEC" w:rsidRPr="000E6CEC">
        <w:rPr>
          <w:b/>
          <w:bCs/>
          <w:sz w:val="28"/>
          <w:szCs w:val="28"/>
        </w:rPr>
        <w:t>chế độ ưu đãi miễn tiền thuê đất đối với các dự án sử dụng đất vào mục đích sản xuất kinh doanh thuộc ngành, nghề ưu đãi đầu tư đồng thời đáp ứng điều kiện</w:t>
      </w:r>
      <w:r w:rsidR="000E6CEC" w:rsidRPr="000E6CEC">
        <w:rPr>
          <w:b/>
          <w:bCs/>
          <w:sz w:val="28"/>
          <w:szCs w:val="28"/>
          <w:lang w:val="vi-VN"/>
        </w:rPr>
        <w:t xml:space="preserve"> loại hình, tiêu chí quy mô, tiêu chuẩn xã hội hóa </w:t>
      </w:r>
      <w:r w:rsidR="000E6CEC" w:rsidRPr="000E6CEC">
        <w:rPr>
          <w:b/>
          <w:bCs/>
          <w:sz w:val="28"/>
          <w:szCs w:val="28"/>
        </w:rPr>
        <w:t xml:space="preserve">hoặc dự án phi lợi nhuận </w:t>
      </w:r>
      <w:r w:rsidR="000E6CEC" w:rsidRPr="000E6CEC">
        <w:rPr>
          <w:b/>
          <w:bCs/>
          <w:sz w:val="28"/>
          <w:szCs w:val="28"/>
          <w:lang w:val="vi-VN"/>
        </w:rPr>
        <w:t xml:space="preserve">trên địa bàn tỉnh </w:t>
      </w:r>
      <w:r w:rsidR="000E6CEC" w:rsidRPr="000E6CEC">
        <w:rPr>
          <w:b/>
          <w:bCs/>
          <w:sz w:val="28"/>
          <w:szCs w:val="28"/>
        </w:rPr>
        <w:t>Tây Ninh</w:t>
      </w:r>
      <w:bookmarkEnd w:id="1"/>
    </w:p>
    <w:p w14:paraId="7D5E7580" w14:textId="291FAD8E" w:rsidR="006F39DF" w:rsidRPr="000E6CEC" w:rsidRDefault="00AD45DB" w:rsidP="007A282A">
      <w:pPr>
        <w:spacing w:after="240"/>
        <w:ind w:firstLine="709"/>
        <w:jc w:val="center"/>
        <w:rPr>
          <w:sz w:val="28"/>
          <w:szCs w:val="28"/>
        </w:rPr>
      </w:pPr>
      <w:r w:rsidRPr="000E6CEC">
        <w:rPr>
          <w:b/>
          <w:bCs/>
          <w:noProof/>
          <w:sz w:val="28"/>
          <w:szCs w:val="28"/>
          <w:lang w:eastAsia="zh-CN"/>
          <w14:ligatures w14:val="standardContextual"/>
        </w:rPr>
        <mc:AlternateContent>
          <mc:Choice Requires="wps">
            <w:drawing>
              <wp:anchor distT="0" distB="0" distL="114300" distR="114300" simplePos="0" relativeHeight="251659264" behindDoc="0" locked="0" layoutInCell="1" allowOverlap="1" wp14:anchorId="2411BD1E" wp14:editId="4D756A46">
                <wp:simplePos x="0" y="0"/>
                <wp:positionH relativeFrom="column">
                  <wp:posOffset>3074480</wp:posOffset>
                </wp:positionH>
                <wp:positionV relativeFrom="paragraph">
                  <wp:posOffset>223520</wp:posOffset>
                </wp:positionV>
                <wp:extent cx="3051959" cy="0"/>
                <wp:effectExtent l="0" t="0" r="34290" b="19050"/>
                <wp:wrapNone/>
                <wp:docPr id="1" name="Straight Connector 1"/>
                <wp:cNvGraphicFramePr/>
                <a:graphic xmlns:a="http://schemas.openxmlformats.org/drawingml/2006/main">
                  <a:graphicData uri="http://schemas.microsoft.com/office/word/2010/wordprocessingShape">
                    <wps:wsp>
                      <wps:cNvCnPr/>
                      <wps:spPr>
                        <a:xfrm>
                          <a:off x="0" y="0"/>
                          <a:ext cx="305195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E6D8AC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42.1pt,17.6pt" to="482.4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vs+tQEAALcDAAAOAAAAZHJzL2Uyb0RvYy54bWysU01v1DAQvSPxHyzf2SRFRTTabA9bwQXB&#10;itIf4DrjjYXtscZmP/49Y+9uigAhVPXieOz3ZuY9T5a3B+/EDihZDIPsFq0UEDSONmwH+fDtw5v3&#10;UqSswqgcBhjkEZK8Xb1+tdzHHq5wQjcCCU4SUr+Pg5xyjn3TJD2BV2mBEQJfGiSvMoe0bUZSe87u&#10;XXPVtu+aPdIYCTWkxKd3p0u5qvmNAZ2/GJMgCzdI7i3Xler6WNZmtVT9llScrD63oZ7RhVc2cNE5&#10;1Z3KSvwg+0cqbzVhQpMXGn2DxlgNVQOr6drf1NxPKkLVwuakONuUXi6t/rzbkLAjv50UQXl+ovtM&#10;ym6nLNYYAhuIJLri0z6mnuHrsKFzlOKGiuiDIV++LEccqrfH2Vs4ZKH58G173d1c30ihL3fNEzFS&#10;yh8BvSibQTobimzVq92nlLkYQy8QDkojp9J1l48OCtiFr2BYChfrKrsOEawdiZ3i5x+/VxmcqyIL&#10;xVjnZlL7b9IZW2hQB+t/iTO6VsSQZ6K3AelvVfPh0qo54S+qT1qL7Eccj/Uhqh08HdWl8ySX8fs1&#10;rvSn/231EwAA//8DAFBLAwQUAAYACAAAACEAzbVG8t4AAAAJAQAADwAAAGRycy9kb3ducmV2Lnht&#10;bEyPwU7DMBBE70j8g7VI3KhDCFFJ41RVJYS4IJrC3Y23TkpsR7aThr9nEYdyWu3OaPZNuZ5Nzyb0&#10;oXNWwP0iAYa2caqzWsDH/vluCSxEaZXsnUUB3xhgXV1flbJQ7mx3ONVRMwqxoZAC2hiHgvPQtGhk&#10;WLgBLWlH542MtHrNlZdnCjc9T5Mk50Z2lj60csBti81XPRoB/aufPvVWb8L4ssvr0/sxfdtPQtze&#10;zJsVsIhzvJjhF5/QoSKmgxutCqwXkC2zlKwCHh5pkuEpz6jL4e/Aq5L/b1D9AAAA//8DAFBLAQIt&#10;ABQABgAIAAAAIQC2gziS/gAAAOEBAAATAAAAAAAAAAAAAAAAAAAAAABbQ29udGVudF9UeXBlc10u&#10;eG1sUEsBAi0AFAAGAAgAAAAhADj9If/WAAAAlAEAAAsAAAAAAAAAAAAAAAAALwEAAF9yZWxzLy5y&#10;ZWxzUEsBAi0AFAAGAAgAAAAhAI06+z61AQAAtwMAAA4AAAAAAAAAAAAAAAAALgIAAGRycy9lMm9E&#10;b2MueG1sUEsBAi0AFAAGAAgAAAAhAM21RvLeAAAACQEAAA8AAAAAAAAAAAAAAAAADwQAAGRycy9k&#10;b3ducmV2LnhtbFBLBQYAAAAABAAEAPMAAAAaBQAAAAA=&#10;" strokecolor="black [3200]" strokeweight=".5pt">
                <v:stroke joinstyle="miter"/>
              </v:line>
            </w:pict>
          </mc:Fallback>
        </mc:AlternateContent>
      </w:r>
      <w:r w:rsidR="006F39DF" w:rsidRPr="000E6CEC">
        <w:rPr>
          <w:b/>
          <w:bCs/>
          <w:sz w:val="28"/>
          <w:szCs w:val="28"/>
        </w:rPr>
        <w:t>(</w:t>
      </w:r>
      <w:r w:rsidR="00945990" w:rsidRPr="000E6CEC">
        <w:rPr>
          <w:i/>
          <w:iCs/>
          <w:sz w:val="28"/>
          <w:szCs w:val="28"/>
        </w:rPr>
        <w:t xml:space="preserve">Kèm theo Tờ trình số  </w:t>
      </w:r>
      <w:r w:rsidR="006F39DF" w:rsidRPr="000E6CEC">
        <w:rPr>
          <w:i/>
          <w:iCs/>
          <w:sz w:val="28"/>
          <w:szCs w:val="28"/>
        </w:rPr>
        <w:t xml:space="preserve">       /</w:t>
      </w:r>
      <w:r w:rsidR="00945990" w:rsidRPr="000E6CEC">
        <w:rPr>
          <w:i/>
          <w:iCs/>
          <w:sz w:val="28"/>
          <w:szCs w:val="28"/>
        </w:rPr>
        <w:t>TTr-UBND</w:t>
      </w:r>
      <w:r w:rsidR="006F39DF" w:rsidRPr="000E6CEC">
        <w:rPr>
          <w:i/>
          <w:iCs/>
          <w:sz w:val="28"/>
          <w:szCs w:val="28"/>
        </w:rPr>
        <w:t xml:space="preserve"> ngày </w:t>
      </w:r>
      <w:r w:rsidR="00945990" w:rsidRPr="000E6CEC">
        <w:rPr>
          <w:i/>
          <w:iCs/>
          <w:sz w:val="28"/>
          <w:szCs w:val="28"/>
        </w:rPr>
        <w:t xml:space="preserve">     </w:t>
      </w:r>
      <w:r w:rsidR="00675EC8" w:rsidRPr="000E6CEC">
        <w:rPr>
          <w:i/>
          <w:iCs/>
          <w:sz w:val="28"/>
          <w:szCs w:val="28"/>
        </w:rPr>
        <w:t xml:space="preserve"> </w:t>
      </w:r>
      <w:r w:rsidR="00945990" w:rsidRPr="000E6CEC">
        <w:rPr>
          <w:i/>
          <w:iCs/>
          <w:sz w:val="28"/>
          <w:szCs w:val="28"/>
        </w:rPr>
        <w:t>/9/2024</w:t>
      </w:r>
      <w:r w:rsidR="006F39DF" w:rsidRPr="000E6CEC">
        <w:rPr>
          <w:i/>
          <w:iCs/>
          <w:sz w:val="28"/>
          <w:szCs w:val="28"/>
        </w:rPr>
        <w:t xml:space="preserve"> của </w:t>
      </w:r>
      <w:r w:rsidR="00945990" w:rsidRPr="000E6CEC">
        <w:rPr>
          <w:i/>
          <w:iCs/>
          <w:sz w:val="28"/>
          <w:szCs w:val="28"/>
        </w:rPr>
        <w:t>Ủy ban nhân dân tỉnh</w:t>
      </w:r>
      <w:r w:rsidR="006F39DF" w:rsidRPr="000E6CEC">
        <w:rPr>
          <w:b/>
          <w:bCs/>
          <w:sz w:val="28"/>
          <w:szCs w:val="28"/>
        </w:rPr>
        <w:t>)</w:t>
      </w:r>
    </w:p>
    <w:p w14:paraId="5966C2AA" w14:textId="77777777" w:rsidR="002A7210" w:rsidRPr="00723C88" w:rsidRDefault="002A7210" w:rsidP="00BE1B91">
      <w:pPr>
        <w:ind w:firstLine="709"/>
        <w:jc w:val="center"/>
        <w:rPr>
          <w:sz w:val="28"/>
          <w:szCs w:val="28"/>
        </w:rPr>
      </w:pPr>
    </w:p>
    <w:tbl>
      <w:tblPr>
        <w:tblW w:w="1502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943"/>
        <w:gridCol w:w="6520"/>
        <w:gridCol w:w="5818"/>
      </w:tblGrid>
      <w:tr w:rsidR="00723C88" w:rsidRPr="00723C88" w14:paraId="2B50CD80" w14:textId="77777777" w:rsidTr="00080359">
        <w:trPr>
          <w:trHeight w:val="375"/>
        </w:trPr>
        <w:tc>
          <w:tcPr>
            <w:tcW w:w="746" w:type="dxa"/>
            <w:shd w:val="clear" w:color="auto" w:fill="auto"/>
            <w:vAlign w:val="center"/>
            <w:hideMark/>
          </w:tcPr>
          <w:p w14:paraId="1775FD76" w14:textId="77777777" w:rsidR="00BE1B91" w:rsidRPr="00723C88" w:rsidRDefault="00BE1B91" w:rsidP="002B6442">
            <w:pPr>
              <w:jc w:val="center"/>
              <w:rPr>
                <w:b/>
                <w:bCs/>
                <w:sz w:val="28"/>
                <w:szCs w:val="28"/>
                <w:lang w:val="vi-VN"/>
              </w:rPr>
            </w:pPr>
            <w:r w:rsidRPr="00723C88">
              <w:rPr>
                <w:b/>
                <w:bCs/>
                <w:sz w:val="28"/>
                <w:szCs w:val="28"/>
              </w:rPr>
              <w:t>STT</w:t>
            </w:r>
          </w:p>
        </w:tc>
        <w:tc>
          <w:tcPr>
            <w:tcW w:w="1943" w:type="dxa"/>
            <w:shd w:val="clear" w:color="auto" w:fill="auto"/>
            <w:vAlign w:val="center"/>
            <w:hideMark/>
          </w:tcPr>
          <w:p w14:paraId="2489607A" w14:textId="77777777" w:rsidR="00BE1B91" w:rsidRPr="00723C88" w:rsidRDefault="00BE1B91" w:rsidP="002B6442">
            <w:pPr>
              <w:jc w:val="center"/>
              <w:rPr>
                <w:b/>
                <w:bCs/>
                <w:sz w:val="28"/>
                <w:szCs w:val="28"/>
              </w:rPr>
            </w:pPr>
            <w:r w:rsidRPr="00723C88">
              <w:rPr>
                <w:b/>
                <w:bCs/>
                <w:sz w:val="28"/>
                <w:szCs w:val="28"/>
              </w:rPr>
              <w:t>ĐƠN VỊ</w:t>
            </w:r>
          </w:p>
        </w:tc>
        <w:tc>
          <w:tcPr>
            <w:tcW w:w="6520" w:type="dxa"/>
            <w:shd w:val="clear" w:color="auto" w:fill="auto"/>
            <w:vAlign w:val="center"/>
            <w:hideMark/>
          </w:tcPr>
          <w:p w14:paraId="4546DC2C" w14:textId="77777777" w:rsidR="00BE1B91" w:rsidRPr="00723C88" w:rsidRDefault="00BE1B91" w:rsidP="002B6442">
            <w:pPr>
              <w:jc w:val="center"/>
              <w:rPr>
                <w:b/>
                <w:bCs/>
                <w:sz w:val="28"/>
                <w:szCs w:val="28"/>
              </w:rPr>
            </w:pPr>
            <w:r w:rsidRPr="00723C88">
              <w:rPr>
                <w:b/>
                <w:bCs/>
                <w:sz w:val="28"/>
                <w:szCs w:val="28"/>
              </w:rPr>
              <w:t>Nội dung góp ý</w:t>
            </w:r>
          </w:p>
        </w:tc>
        <w:tc>
          <w:tcPr>
            <w:tcW w:w="5818" w:type="dxa"/>
            <w:shd w:val="clear" w:color="auto" w:fill="auto"/>
            <w:noWrap/>
            <w:hideMark/>
          </w:tcPr>
          <w:p w14:paraId="4A795222" w14:textId="77777777" w:rsidR="00BE1B91" w:rsidRPr="00723C88" w:rsidRDefault="00BE1B91" w:rsidP="002B6442">
            <w:pPr>
              <w:jc w:val="center"/>
              <w:rPr>
                <w:b/>
                <w:bCs/>
                <w:sz w:val="28"/>
                <w:szCs w:val="28"/>
              </w:rPr>
            </w:pPr>
            <w:r w:rsidRPr="00723C88">
              <w:rPr>
                <w:b/>
                <w:bCs/>
                <w:sz w:val="28"/>
                <w:szCs w:val="28"/>
              </w:rPr>
              <w:t>Tiếp thu, giải trình</w:t>
            </w:r>
          </w:p>
        </w:tc>
      </w:tr>
      <w:tr w:rsidR="00723C88" w:rsidRPr="00723C88" w14:paraId="66D60E18" w14:textId="77777777" w:rsidTr="00080359">
        <w:trPr>
          <w:trHeight w:val="375"/>
        </w:trPr>
        <w:tc>
          <w:tcPr>
            <w:tcW w:w="746" w:type="dxa"/>
            <w:shd w:val="clear" w:color="auto" w:fill="auto"/>
            <w:vAlign w:val="center"/>
          </w:tcPr>
          <w:p w14:paraId="60CB9CB5" w14:textId="77777777" w:rsidR="00BE1B91" w:rsidRPr="00723C88" w:rsidRDefault="00BE1B91" w:rsidP="00277810">
            <w:pPr>
              <w:jc w:val="both"/>
              <w:rPr>
                <w:sz w:val="28"/>
                <w:szCs w:val="28"/>
              </w:rPr>
            </w:pPr>
            <w:r w:rsidRPr="00723C88">
              <w:rPr>
                <w:sz w:val="28"/>
                <w:szCs w:val="28"/>
              </w:rPr>
              <w:t>1</w:t>
            </w:r>
          </w:p>
        </w:tc>
        <w:tc>
          <w:tcPr>
            <w:tcW w:w="1943" w:type="dxa"/>
            <w:shd w:val="clear" w:color="auto" w:fill="auto"/>
            <w:vAlign w:val="center"/>
          </w:tcPr>
          <w:p w14:paraId="7E47C5A9" w14:textId="6D8113F6" w:rsidR="00BE1B91" w:rsidRPr="00723C88" w:rsidRDefault="00BE1B91" w:rsidP="00277810">
            <w:pPr>
              <w:jc w:val="both"/>
              <w:rPr>
                <w:sz w:val="28"/>
                <w:szCs w:val="28"/>
              </w:rPr>
            </w:pPr>
            <w:r w:rsidRPr="00723C88">
              <w:rPr>
                <w:sz w:val="28"/>
                <w:szCs w:val="28"/>
              </w:rPr>
              <w:t xml:space="preserve">Sở Tư pháp (Công văn số </w:t>
            </w:r>
            <w:r w:rsidR="00723C88" w:rsidRPr="00723C88">
              <w:rPr>
                <w:sz w:val="28"/>
                <w:szCs w:val="28"/>
              </w:rPr>
              <w:t>2887</w:t>
            </w:r>
            <w:r w:rsidRPr="00723C88">
              <w:rPr>
                <w:sz w:val="28"/>
                <w:szCs w:val="28"/>
              </w:rPr>
              <w:t xml:space="preserve">/STP-XDPBPL ngày </w:t>
            </w:r>
            <w:r w:rsidR="00723C88" w:rsidRPr="00723C88">
              <w:rPr>
                <w:sz w:val="28"/>
                <w:szCs w:val="28"/>
              </w:rPr>
              <w:t>24/10</w:t>
            </w:r>
            <w:r w:rsidRPr="00723C88">
              <w:rPr>
                <w:sz w:val="28"/>
                <w:szCs w:val="28"/>
              </w:rPr>
              <w:t>/2024)</w:t>
            </w:r>
          </w:p>
        </w:tc>
        <w:tc>
          <w:tcPr>
            <w:tcW w:w="6520" w:type="dxa"/>
            <w:shd w:val="clear" w:color="auto" w:fill="auto"/>
            <w:vAlign w:val="center"/>
          </w:tcPr>
          <w:p w14:paraId="2276D28B" w14:textId="77777777" w:rsidR="00BE1B91" w:rsidRPr="00723C88" w:rsidRDefault="00BE1B91" w:rsidP="00277810">
            <w:pPr>
              <w:jc w:val="both"/>
              <w:rPr>
                <w:sz w:val="28"/>
                <w:szCs w:val="28"/>
              </w:rPr>
            </w:pPr>
            <w:r w:rsidRPr="00723C88">
              <w:rPr>
                <w:sz w:val="28"/>
                <w:szCs w:val="28"/>
              </w:rPr>
              <w:t>Đối với nội dung dự thảo văn bản, Sở Tư pháp không có ý kiến góp ý cụ thể.</w:t>
            </w:r>
          </w:p>
        </w:tc>
        <w:tc>
          <w:tcPr>
            <w:tcW w:w="5818" w:type="dxa"/>
            <w:shd w:val="clear" w:color="auto" w:fill="auto"/>
            <w:noWrap/>
          </w:tcPr>
          <w:p w14:paraId="4377D292" w14:textId="77777777" w:rsidR="00BE1B91" w:rsidRPr="00723C88" w:rsidRDefault="00BE1B91" w:rsidP="00277810">
            <w:pPr>
              <w:jc w:val="both"/>
              <w:rPr>
                <w:sz w:val="28"/>
                <w:szCs w:val="28"/>
              </w:rPr>
            </w:pPr>
          </w:p>
        </w:tc>
      </w:tr>
      <w:tr w:rsidR="00CD4235" w:rsidRPr="003747A0" w14:paraId="6218B3F5" w14:textId="77777777" w:rsidTr="00080359">
        <w:trPr>
          <w:trHeight w:val="402"/>
        </w:trPr>
        <w:tc>
          <w:tcPr>
            <w:tcW w:w="746" w:type="dxa"/>
            <w:vMerge w:val="restart"/>
            <w:shd w:val="clear" w:color="auto" w:fill="auto"/>
            <w:vAlign w:val="center"/>
          </w:tcPr>
          <w:p w14:paraId="3CE78D81" w14:textId="77777777" w:rsidR="00CD4235" w:rsidRPr="00723C88" w:rsidRDefault="00CD4235" w:rsidP="00277810">
            <w:pPr>
              <w:jc w:val="both"/>
              <w:rPr>
                <w:sz w:val="28"/>
                <w:szCs w:val="28"/>
              </w:rPr>
            </w:pPr>
            <w:r w:rsidRPr="00723C88">
              <w:rPr>
                <w:sz w:val="28"/>
                <w:szCs w:val="28"/>
              </w:rPr>
              <w:t>2</w:t>
            </w:r>
          </w:p>
        </w:tc>
        <w:tc>
          <w:tcPr>
            <w:tcW w:w="1943" w:type="dxa"/>
            <w:vMerge w:val="restart"/>
            <w:shd w:val="clear" w:color="auto" w:fill="auto"/>
            <w:vAlign w:val="center"/>
          </w:tcPr>
          <w:p w14:paraId="1A2C5F17" w14:textId="55B26329" w:rsidR="00CD4235" w:rsidRPr="00723C88" w:rsidRDefault="00CD4235" w:rsidP="00277810">
            <w:pPr>
              <w:jc w:val="both"/>
              <w:rPr>
                <w:sz w:val="28"/>
                <w:szCs w:val="28"/>
              </w:rPr>
            </w:pPr>
            <w:r w:rsidRPr="00723C88">
              <w:rPr>
                <w:sz w:val="28"/>
                <w:szCs w:val="28"/>
              </w:rPr>
              <w:t>Mặt trận Tổ quốc Việt Nam tỉnh Tây Ninh (Công văn số 148/MTTQ-BTT ngày 25/10/2024)</w:t>
            </w:r>
          </w:p>
        </w:tc>
        <w:tc>
          <w:tcPr>
            <w:tcW w:w="6520" w:type="dxa"/>
            <w:shd w:val="clear" w:color="auto" w:fill="auto"/>
            <w:vAlign w:val="center"/>
          </w:tcPr>
          <w:p w14:paraId="4EF70737" w14:textId="40349BA5" w:rsidR="00CD4235" w:rsidRPr="00723C88" w:rsidRDefault="00CD4235" w:rsidP="00FC23AD">
            <w:pPr>
              <w:jc w:val="both"/>
              <w:rPr>
                <w:bCs/>
                <w:i/>
                <w:iCs/>
                <w:sz w:val="28"/>
                <w:szCs w:val="28"/>
                <w:lang w:val="vi-VN"/>
              </w:rPr>
            </w:pPr>
            <w:r w:rsidRPr="00723C88">
              <w:rPr>
                <w:sz w:val="28"/>
                <w:szCs w:val="28"/>
              </w:rPr>
              <w:t xml:space="preserve">Góp ý nội dung </w:t>
            </w:r>
            <w:r w:rsidRPr="00723C88">
              <w:rPr>
                <w:i/>
                <w:iCs/>
                <w:sz w:val="28"/>
                <w:szCs w:val="28"/>
              </w:rPr>
              <w:t xml:space="preserve">“Điều 1 </w:t>
            </w:r>
            <w:r w:rsidRPr="00723C88">
              <w:rPr>
                <w:bCs/>
                <w:i/>
                <w:iCs/>
                <w:sz w:val="28"/>
                <w:szCs w:val="28"/>
              </w:rPr>
              <w:t xml:space="preserve">Phạm vi điều chỉnh </w:t>
            </w:r>
          </w:p>
          <w:p w14:paraId="04EC4BC8" w14:textId="200B3287" w:rsidR="00CD4235" w:rsidRPr="00723C88" w:rsidRDefault="00CD4235" w:rsidP="00723C88">
            <w:pPr>
              <w:jc w:val="both"/>
              <w:rPr>
                <w:sz w:val="28"/>
                <w:szCs w:val="28"/>
                <w:lang w:val="vi-VN"/>
              </w:rPr>
            </w:pPr>
            <w:r w:rsidRPr="00FC23AD">
              <w:rPr>
                <w:i/>
                <w:iCs/>
                <w:sz w:val="28"/>
                <w:szCs w:val="28"/>
                <w:lang w:val="vi-VN"/>
              </w:rPr>
              <w:t>Nghị quyết này quy định chế độ ưu đãi miễn tiền thuê đất đối với các dự án thuộc danh mục các loại hình, tiêu chí quy mô, tiêu chuẩn xã hội hóa do Thủ tướng Chính phủ quyết định (sau đây gọi tắt là dự án đầu tư xã hội hóa)</w:t>
            </w:r>
            <w:r w:rsidRPr="00723C88">
              <w:rPr>
                <w:i/>
                <w:iCs/>
                <w:sz w:val="28"/>
                <w:szCs w:val="28"/>
                <w:lang w:val="vi-VN"/>
              </w:rPr>
              <w:t xml:space="preserve"> và </w:t>
            </w:r>
            <w:r w:rsidRPr="00FC23AD">
              <w:rPr>
                <w:i/>
                <w:iCs/>
                <w:sz w:val="28"/>
                <w:szCs w:val="28"/>
                <w:lang w:val="vi-VN"/>
              </w:rPr>
              <w:t>Dự án phi lợi nhuận</w:t>
            </w:r>
            <w:r w:rsidRPr="00723C88">
              <w:rPr>
                <w:b/>
                <w:bCs/>
                <w:i/>
                <w:iCs/>
                <w:sz w:val="28"/>
                <w:szCs w:val="28"/>
                <w:lang w:val="vi-VN"/>
              </w:rPr>
              <w:t xml:space="preserve"> </w:t>
            </w:r>
            <w:r w:rsidRPr="00723C88">
              <w:rPr>
                <w:i/>
                <w:iCs/>
                <w:sz w:val="28"/>
                <w:szCs w:val="28"/>
                <w:lang w:val="vi-VN"/>
              </w:rPr>
              <w:t>sử dụng đất vào mục đích sản xuất kinh doanh thuộc ngành, nghề ưu đãi đầu tư</w:t>
            </w:r>
            <w:r w:rsidRPr="00FC23AD">
              <w:rPr>
                <w:i/>
                <w:iCs/>
                <w:sz w:val="28"/>
                <w:szCs w:val="28"/>
                <w:lang w:val="vi-VN"/>
              </w:rPr>
              <w:t xml:space="preserve"> trên địa bàn tỉnh Tây Ninh</w:t>
            </w:r>
            <w:r w:rsidRPr="00723C88">
              <w:rPr>
                <w:sz w:val="28"/>
                <w:szCs w:val="28"/>
                <w:lang w:val="vi-VN"/>
              </w:rPr>
              <w:t>.</w:t>
            </w:r>
          </w:p>
        </w:tc>
        <w:tc>
          <w:tcPr>
            <w:tcW w:w="5818" w:type="dxa"/>
            <w:shd w:val="clear" w:color="auto" w:fill="auto"/>
            <w:noWrap/>
          </w:tcPr>
          <w:p w14:paraId="4350A1E1" w14:textId="7AF872B0" w:rsidR="00CD4235" w:rsidRPr="001F6EE1" w:rsidRDefault="00CD4235" w:rsidP="00FE0768">
            <w:pPr>
              <w:jc w:val="both"/>
              <w:rPr>
                <w:sz w:val="28"/>
                <w:szCs w:val="28"/>
                <w:lang w:val="vi-VN"/>
              </w:rPr>
            </w:pPr>
            <w:r w:rsidRPr="001F6EE1">
              <w:rPr>
                <w:sz w:val="28"/>
                <w:szCs w:val="28"/>
                <w:lang w:val="vi-VN"/>
              </w:rPr>
              <w:t>Không tiếp thu</w:t>
            </w:r>
            <w:r w:rsidRPr="004E3A06">
              <w:rPr>
                <w:sz w:val="28"/>
                <w:szCs w:val="28"/>
                <w:lang w:val="vi-VN"/>
              </w:rPr>
              <w:t>, v</w:t>
            </w:r>
            <w:r w:rsidRPr="001F6EE1">
              <w:rPr>
                <w:sz w:val="28"/>
                <w:szCs w:val="28"/>
                <w:lang w:val="vi-VN"/>
              </w:rPr>
              <w:t>ẫn giữ theo Dự thảo</w:t>
            </w:r>
          </w:p>
          <w:p w14:paraId="518744DE" w14:textId="7011915E" w:rsidR="00CD4235" w:rsidRPr="003747A0" w:rsidRDefault="00CD4235" w:rsidP="003747A0">
            <w:pPr>
              <w:jc w:val="both"/>
              <w:rPr>
                <w:sz w:val="28"/>
                <w:szCs w:val="28"/>
                <w:lang w:val="vi-VN"/>
              </w:rPr>
            </w:pPr>
            <w:r w:rsidRPr="001F6EE1">
              <w:rPr>
                <w:sz w:val="28"/>
                <w:szCs w:val="28"/>
                <w:lang w:val="vi-VN"/>
              </w:rPr>
              <w:t xml:space="preserve">Lý do: </w:t>
            </w:r>
            <w:r w:rsidRPr="001F6EE1">
              <w:rPr>
                <w:sz w:val="28"/>
                <w:szCs w:val="28"/>
                <w:lang w:val="vi-VN"/>
              </w:rPr>
              <w:t>Chưa rõ ý</w:t>
            </w:r>
            <w:r w:rsidRPr="001F6EE1">
              <w:rPr>
                <w:sz w:val="28"/>
                <w:szCs w:val="28"/>
                <w:lang w:val="vi-VN"/>
              </w:rPr>
              <w:t xml:space="preserve">, vì </w:t>
            </w:r>
            <w:r w:rsidRPr="003747A0">
              <w:rPr>
                <w:sz w:val="28"/>
                <w:szCs w:val="28"/>
                <w:lang w:val="vi-VN"/>
              </w:rPr>
              <w:t xml:space="preserve">các dự án sử dụng đất vào </w:t>
            </w:r>
            <w:r w:rsidRPr="003747A0">
              <w:rPr>
                <w:sz w:val="28"/>
                <w:szCs w:val="28"/>
                <w:u w:val="single"/>
                <w:lang w:val="vi-VN"/>
              </w:rPr>
              <w:t>mục đích sản xuất kinh doanh thuộc ngành, nghề ưu đãi đầu tư</w:t>
            </w:r>
            <w:r w:rsidRPr="003747A0">
              <w:rPr>
                <w:sz w:val="28"/>
                <w:szCs w:val="28"/>
                <w:lang w:val="vi-VN"/>
              </w:rPr>
              <w:t xml:space="preserve"> </w:t>
            </w:r>
            <w:r w:rsidRPr="001F6EE1">
              <w:rPr>
                <w:sz w:val="28"/>
                <w:szCs w:val="28"/>
                <w:lang w:val="vi-VN"/>
              </w:rPr>
              <w:t xml:space="preserve">phải </w:t>
            </w:r>
            <w:r w:rsidRPr="003747A0">
              <w:rPr>
                <w:sz w:val="28"/>
                <w:szCs w:val="28"/>
                <w:lang w:val="vi-VN"/>
              </w:rPr>
              <w:t xml:space="preserve">đáp ứng một trong hai điều kiện: </w:t>
            </w:r>
          </w:p>
          <w:p w14:paraId="4D69EBE3" w14:textId="6AEF155E" w:rsidR="00CD4235" w:rsidRPr="003747A0" w:rsidRDefault="00CD4235" w:rsidP="003747A0">
            <w:pPr>
              <w:jc w:val="both"/>
              <w:rPr>
                <w:sz w:val="28"/>
                <w:szCs w:val="28"/>
                <w:lang w:val="vi-VN"/>
              </w:rPr>
            </w:pPr>
            <w:r w:rsidRPr="001F6EE1">
              <w:rPr>
                <w:sz w:val="28"/>
                <w:szCs w:val="28"/>
                <w:lang w:val="vi-VN"/>
              </w:rPr>
              <w:t>-</w:t>
            </w:r>
            <w:r w:rsidRPr="003747A0">
              <w:rPr>
                <w:sz w:val="28"/>
                <w:szCs w:val="28"/>
                <w:lang w:val="vi-VN"/>
              </w:rPr>
              <w:t xml:space="preserve"> Dự án thuộc danh mục các loại hình, tiêu chí quy mô, tiêu chuẩn xã hội hóa do Thủ tướng Chính phủ quyết định (</w:t>
            </w:r>
            <w:r w:rsidRPr="003747A0">
              <w:rPr>
                <w:i/>
                <w:sz w:val="28"/>
                <w:szCs w:val="28"/>
                <w:lang w:val="vi-VN"/>
              </w:rPr>
              <w:t>sau đây gọi tắt là dự án đầu tư xã hội hóa</w:t>
            </w:r>
            <w:r w:rsidRPr="003747A0">
              <w:rPr>
                <w:sz w:val="28"/>
                <w:szCs w:val="28"/>
                <w:lang w:val="vi-VN"/>
              </w:rPr>
              <w:t>).</w:t>
            </w:r>
          </w:p>
          <w:p w14:paraId="738B4B3D" w14:textId="1B84F3FF" w:rsidR="00CD4235" w:rsidRPr="003747A0" w:rsidRDefault="00CD4235" w:rsidP="003747A0">
            <w:pPr>
              <w:jc w:val="both"/>
              <w:rPr>
                <w:sz w:val="28"/>
                <w:szCs w:val="28"/>
                <w:lang w:val="vi-VN"/>
              </w:rPr>
            </w:pPr>
            <w:r w:rsidRPr="001F6EE1">
              <w:rPr>
                <w:sz w:val="28"/>
                <w:szCs w:val="28"/>
                <w:lang w:val="vi-VN"/>
              </w:rPr>
              <w:t>-</w:t>
            </w:r>
            <w:r w:rsidRPr="003747A0">
              <w:rPr>
                <w:sz w:val="28"/>
                <w:szCs w:val="28"/>
                <w:lang w:val="vi-VN"/>
              </w:rPr>
              <w:t xml:space="preserve"> Dự án phi lợi nhuận.</w:t>
            </w:r>
          </w:p>
          <w:p w14:paraId="075EFCE6" w14:textId="41D252F4" w:rsidR="00CD4235" w:rsidRPr="003747A0" w:rsidRDefault="00CD4235" w:rsidP="00FE0768">
            <w:pPr>
              <w:jc w:val="both"/>
              <w:rPr>
                <w:sz w:val="28"/>
                <w:szCs w:val="28"/>
                <w:lang w:val="vi-VN"/>
              </w:rPr>
            </w:pPr>
          </w:p>
        </w:tc>
      </w:tr>
      <w:tr w:rsidR="00CD4235" w:rsidRPr="005B2D07" w14:paraId="6E00B416" w14:textId="77777777" w:rsidTr="00080359">
        <w:trPr>
          <w:trHeight w:val="401"/>
        </w:trPr>
        <w:tc>
          <w:tcPr>
            <w:tcW w:w="746" w:type="dxa"/>
            <w:vMerge/>
            <w:shd w:val="clear" w:color="auto" w:fill="auto"/>
            <w:vAlign w:val="center"/>
          </w:tcPr>
          <w:p w14:paraId="68BCA4E1" w14:textId="77777777" w:rsidR="00CD4235" w:rsidRPr="003747A0" w:rsidRDefault="00CD4235" w:rsidP="00277810">
            <w:pPr>
              <w:jc w:val="both"/>
              <w:rPr>
                <w:color w:val="FF0000"/>
                <w:sz w:val="28"/>
                <w:szCs w:val="28"/>
                <w:lang w:val="vi-VN"/>
              </w:rPr>
            </w:pPr>
          </w:p>
        </w:tc>
        <w:tc>
          <w:tcPr>
            <w:tcW w:w="1943" w:type="dxa"/>
            <w:vMerge/>
            <w:shd w:val="clear" w:color="auto" w:fill="auto"/>
            <w:vAlign w:val="center"/>
          </w:tcPr>
          <w:p w14:paraId="280E34A4" w14:textId="77777777" w:rsidR="00CD4235" w:rsidRPr="003747A0" w:rsidRDefault="00CD4235" w:rsidP="00277810">
            <w:pPr>
              <w:jc w:val="both"/>
              <w:rPr>
                <w:color w:val="FF0000"/>
                <w:sz w:val="28"/>
                <w:szCs w:val="28"/>
                <w:lang w:val="vi-VN"/>
              </w:rPr>
            </w:pPr>
          </w:p>
        </w:tc>
        <w:tc>
          <w:tcPr>
            <w:tcW w:w="6520" w:type="dxa"/>
            <w:shd w:val="clear" w:color="auto" w:fill="auto"/>
            <w:vAlign w:val="center"/>
          </w:tcPr>
          <w:p w14:paraId="15C8A1B2" w14:textId="334E0A7F" w:rsidR="00CD4235" w:rsidRPr="00E34BCA" w:rsidRDefault="00CD4235" w:rsidP="004E3A06">
            <w:pPr>
              <w:jc w:val="both"/>
              <w:rPr>
                <w:sz w:val="28"/>
                <w:szCs w:val="28"/>
                <w:lang w:val="vi-VN"/>
              </w:rPr>
            </w:pPr>
            <w:r w:rsidRPr="00E34BCA">
              <w:rPr>
                <w:sz w:val="28"/>
                <w:szCs w:val="28"/>
                <w:lang w:val="vi-VN"/>
              </w:rPr>
              <w:t xml:space="preserve">- góp ý Điều 4. Chế độ ưu đãi miễn, </w:t>
            </w:r>
            <w:r w:rsidRPr="00E34BCA">
              <w:rPr>
                <w:sz w:val="28"/>
                <w:szCs w:val="28"/>
                <w:u w:val="single"/>
                <w:lang w:val="vi-VN"/>
              </w:rPr>
              <w:t>giảm</w:t>
            </w:r>
            <w:r w:rsidRPr="00E34BCA">
              <w:rPr>
                <w:sz w:val="28"/>
                <w:szCs w:val="28"/>
                <w:lang w:val="vi-VN"/>
              </w:rPr>
              <w:t xml:space="preserve"> tiền thuê đất </w:t>
            </w:r>
          </w:p>
        </w:tc>
        <w:tc>
          <w:tcPr>
            <w:tcW w:w="5818" w:type="dxa"/>
            <w:shd w:val="clear" w:color="auto" w:fill="auto"/>
            <w:noWrap/>
          </w:tcPr>
          <w:p w14:paraId="5959D769" w14:textId="77777777" w:rsidR="00CD4235" w:rsidRPr="00E34BCA" w:rsidRDefault="00CD4235" w:rsidP="005B2D07">
            <w:pPr>
              <w:jc w:val="both"/>
              <w:rPr>
                <w:sz w:val="28"/>
                <w:szCs w:val="28"/>
                <w:lang w:val="vi-VN"/>
              </w:rPr>
            </w:pPr>
            <w:r w:rsidRPr="00E34BCA">
              <w:rPr>
                <w:sz w:val="28"/>
                <w:szCs w:val="28"/>
                <w:lang w:val="vi-VN"/>
              </w:rPr>
              <w:t>Không tiếp thu, vẫn giữ theo Dự thảo</w:t>
            </w:r>
          </w:p>
          <w:p w14:paraId="2CEBD2BF" w14:textId="123DF3F1" w:rsidR="00CD4235" w:rsidRPr="00E34BCA" w:rsidRDefault="00CD4235" w:rsidP="005B2D07">
            <w:pPr>
              <w:jc w:val="both"/>
              <w:rPr>
                <w:i/>
                <w:iCs/>
                <w:sz w:val="28"/>
                <w:szCs w:val="28"/>
                <w:lang w:val="vi-VN"/>
              </w:rPr>
            </w:pPr>
            <w:r w:rsidRPr="00E34BCA">
              <w:rPr>
                <w:sz w:val="28"/>
                <w:szCs w:val="28"/>
                <w:lang w:val="vi-VN"/>
              </w:rPr>
              <w:t>Lý do:</w:t>
            </w:r>
            <w:r w:rsidRPr="00E34BCA">
              <w:rPr>
                <w:sz w:val="28"/>
                <w:szCs w:val="28"/>
                <w:lang w:val="vi-VN"/>
              </w:rPr>
              <w:t xml:space="preserve"> theo quy định </w:t>
            </w:r>
            <w:r w:rsidRPr="005B2D07">
              <w:rPr>
                <w:sz w:val="28"/>
                <w:szCs w:val="28"/>
                <w:lang w:val="vi-VN"/>
              </w:rPr>
              <w:t xml:space="preserve">Khoản 15 Điều 38 Nghị định số 103/2024/NĐ-CP ngày 30/7/2024 của Chính phủ quy định: </w:t>
            </w:r>
            <w:r w:rsidRPr="005B2D07">
              <w:rPr>
                <w:i/>
                <w:iCs/>
                <w:sz w:val="28"/>
                <w:szCs w:val="28"/>
                <w:lang w:val="vi-VN"/>
              </w:rPr>
              <w:t xml:space="preserve">“15. Căn cứ điều kiện thực tế của địa phương, Ủy ban nhân dân cấp tỉnh trình Hội đồng nhân dân cùng cấp quyết định chế độ ưu đãi miễn tiền thuê đất theo từng khu vực, lĩnh vực đối </w:t>
            </w:r>
            <w:r w:rsidRPr="005B2D07">
              <w:rPr>
                <w:i/>
                <w:iCs/>
                <w:sz w:val="28"/>
                <w:szCs w:val="28"/>
                <w:lang w:val="vi-VN"/>
              </w:rPr>
              <w:lastRenderedPageBreak/>
              <w:t>với dự án sử dụng đất vào mục đích sản xuất, kinh doanh thuộc lĩnh vực ưu đãi đầu tư (ngành, nghề ưu đãi đầu tư) hoặc tại địa bàn ưu đãi đầu tư theo quy định tại </w:t>
            </w:r>
            <w:bookmarkStart w:id="2" w:name="dc_137"/>
            <w:r w:rsidRPr="005B2D07">
              <w:rPr>
                <w:i/>
                <w:iCs/>
                <w:sz w:val="28"/>
                <w:szCs w:val="28"/>
                <w:lang w:val="vi-VN"/>
              </w:rPr>
              <w:t>điểm a khoản 1 Điều 157 Luật Đất đai</w:t>
            </w:r>
            <w:bookmarkEnd w:id="2"/>
            <w:r w:rsidRPr="005B2D07">
              <w:rPr>
                <w:i/>
                <w:iCs/>
                <w:sz w:val="28"/>
                <w:szCs w:val="28"/>
                <w:lang w:val="vi-VN"/>
              </w:rPr>
              <w:t> mà đáp ứng một trong hai điều kiện: Dự án thuộc danh mục các loại hình, tiêu chí quy mô, tiêu chuẩn xã hội hóa do Thủ tướng Chính phủ quyết định; dự án phi lợi nhuận.</w:t>
            </w:r>
          </w:p>
        </w:tc>
      </w:tr>
      <w:tr w:rsidR="00CD4235" w:rsidRPr="00E34BCA" w14:paraId="6D1B28BD" w14:textId="77777777" w:rsidTr="00080359">
        <w:trPr>
          <w:trHeight w:val="401"/>
        </w:trPr>
        <w:tc>
          <w:tcPr>
            <w:tcW w:w="746" w:type="dxa"/>
            <w:vMerge/>
            <w:shd w:val="clear" w:color="auto" w:fill="auto"/>
            <w:vAlign w:val="center"/>
          </w:tcPr>
          <w:p w14:paraId="2C09B3DE" w14:textId="77777777" w:rsidR="00CD4235" w:rsidRPr="005B2D07" w:rsidRDefault="00CD4235" w:rsidP="00277810">
            <w:pPr>
              <w:jc w:val="both"/>
              <w:rPr>
                <w:color w:val="FF0000"/>
                <w:sz w:val="28"/>
                <w:szCs w:val="28"/>
                <w:lang w:val="vi-VN"/>
              </w:rPr>
            </w:pPr>
          </w:p>
        </w:tc>
        <w:tc>
          <w:tcPr>
            <w:tcW w:w="1943" w:type="dxa"/>
            <w:vMerge/>
            <w:shd w:val="clear" w:color="auto" w:fill="auto"/>
            <w:vAlign w:val="center"/>
          </w:tcPr>
          <w:p w14:paraId="0B461981" w14:textId="77777777" w:rsidR="00CD4235" w:rsidRPr="005B2D07" w:rsidRDefault="00CD4235" w:rsidP="00277810">
            <w:pPr>
              <w:jc w:val="both"/>
              <w:rPr>
                <w:color w:val="FF0000"/>
                <w:sz w:val="28"/>
                <w:szCs w:val="28"/>
                <w:lang w:val="vi-VN"/>
              </w:rPr>
            </w:pPr>
          </w:p>
        </w:tc>
        <w:tc>
          <w:tcPr>
            <w:tcW w:w="6520" w:type="dxa"/>
            <w:shd w:val="clear" w:color="auto" w:fill="auto"/>
            <w:vAlign w:val="center"/>
          </w:tcPr>
          <w:p w14:paraId="1B4D12C7" w14:textId="0F1A026A" w:rsidR="00CD4235" w:rsidRPr="00AD49F7" w:rsidRDefault="00CD4235" w:rsidP="00277810">
            <w:pPr>
              <w:jc w:val="both"/>
              <w:rPr>
                <w:color w:val="FF0000"/>
                <w:sz w:val="28"/>
                <w:szCs w:val="28"/>
              </w:rPr>
            </w:pPr>
            <w:r w:rsidRPr="004169EF">
              <w:rPr>
                <w:sz w:val="28"/>
                <w:szCs w:val="28"/>
              </w:rPr>
              <w:t>- Chọn phương án 2</w:t>
            </w:r>
          </w:p>
        </w:tc>
        <w:tc>
          <w:tcPr>
            <w:tcW w:w="5818" w:type="dxa"/>
            <w:shd w:val="clear" w:color="auto" w:fill="auto"/>
            <w:noWrap/>
          </w:tcPr>
          <w:p w14:paraId="0E8BE9DD" w14:textId="77777777" w:rsidR="00CD4235" w:rsidRPr="00E34BCA" w:rsidRDefault="00CD4235" w:rsidP="00E34BCA">
            <w:pPr>
              <w:jc w:val="both"/>
              <w:rPr>
                <w:sz w:val="28"/>
                <w:szCs w:val="28"/>
                <w:lang w:val="es-ES_tradnl"/>
              </w:rPr>
            </w:pPr>
            <w:r w:rsidRPr="00E34BCA">
              <w:rPr>
                <w:sz w:val="28"/>
                <w:szCs w:val="28"/>
                <w:lang w:val="es-ES_tradnl"/>
              </w:rPr>
              <w:t>- Ý kiến thống nhất lựa chọn phương án 1 của các đơn vị.</w:t>
            </w:r>
          </w:p>
          <w:p w14:paraId="289786B9" w14:textId="0439BB25" w:rsidR="00CD4235" w:rsidRPr="00E34BCA" w:rsidRDefault="00CD4235" w:rsidP="00E34BCA">
            <w:pPr>
              <w:jc w:val="both"/>
              <w:rPr>
                <w:sz w:val="28"/>
                <w:szCs w:val="28"/>
                <w:lang w:val="es-ES_tradnl"/>
              </w:rPr>
            </w:pPr>
            <w:r w:rsidRPr="00E34BCA">
              <w:rPr>
                <w:sz w:val="28"/>
                <w:szCs w:val="28"/>
                <w:lang w:val="es-ES_tradnl"/>
              </w:rPr>
              <w:t xml:space="preserve">- </w:t>
            </w:r>
            <w:r>
              <w:rPr>
                <w:sz w:val="28"/>
                <w:szCs w:val="28"/>
                <w:lang w:val="es-ES_tradnl"/>
              </w:rPr>
              <w:t>Thực tiễn địa phương đ</w:t>
            </w:r>
            <w:r w:rsidRPr="00E34BCA">
              <w:rPr>
                <w:sz w:val="28"/>
                <w:szCs w:val="28"/>
                <w:lang w:val="es-ES_tradnl"/>
              </w:rPr>
              <w:t>ã thực hiện miễn tiền thuê đất cho cả thời gian được nhà nước cho thuê đất theo Quyết định số 76/2014/QĐ-UBND ngày 24/12/2014 của UBND tỉnh về quy định chế độ miễn, giảm tiền thuê đất đối với cơ sở thực hiện xã hội hóa sử dụng đất trong khu vực đô thị trên địa bàn tỉnh Tây Ninh.</w:t>
            </w:r>
          </w:p>
          <w:p w14:paraId="48E0A4B2" w14:textId="3B93BA2F" w:rsidR="00CD4235" w:rsidRPr="004169EF" w:rsidRDefault="00CD4235" w:rsidP="00E34BCA">
            <w:pPr>
              <w:jc w:val="both"/>
              <w:rPr>
                <w:sz w:val="28"/>
                <w:szCs w:val="28"/>
                <w:lang w:val="es-ES_tradnl"/>
              </w:rPr>
            </w:pPr>
            <w:r w:rsidRPr="00E34BCA">
              <w:rPr>
                <w:sz w:val="28"/>
                <w:szCs w:val="28"/>
                <w:lang w:val="es-ES_tradnl"/>
              </w:rPr>
              <w:t>- Thực hiện kết luận của Ban Chấp hành Đảng bộ tỉnh (Thông báo số 1205-TB/VPTU, ngày 20/12/2022) cho ý kiến đối với một số nội dung đề xuất trong lĩnh vực đất đai, đầu tư, quy hoạch. Trong đó, áp dụng chính sách ưu đãi đầu tư liên quan đến đất do Nhà nước quản lý (đất công): Các lĩnh vực áp dụng ưu đãi: Y tế, giáo dục, dạy nghề áp dụng trên địa bàn các huyện, thị xã, thành phố thuộc tỉnh.</w:t>
            </w:r>
          </w:p>
        </w:tc>
      </w:tr>
      <w:tr w:rsidR="00CD4235" w:rsidRPr="007518F0" w14:paraId="477DE2BB" w14:textId="77777777" w:rsidTr="00080359">
        <w:trPr>
          <w:trHeight w:val="401"/>
        </w:trPr>
        <w:tc>
          <w:tcPr>
            <w:tcW w:w="746" w:type="dxa"/>
            <w:vMerge/>
            <w:shd w:val="clear" w:color="auto" w:fill="auto"/>
            <w:vAlign w:val="center"/>
          </w:tcPr>
          <w:p w14:paraId="45F6BFF7" w14:textId="77777777" w:rsidR="00CD4235" w:rsidRPr="00E34BCA" w:rsidRDefault="00CD4235" w:rsidP="00277810">
            <w:pPr>
              <w:jc w:val="both"/>
              <w:rPr>
                <w:color w:val="FF0000"/>
                <w:sz w:val="28"/>
                <w:szCs w:val="28"/>
                <w:lang w:val="es-ES_tradnl"/>
              </w:rPr>
            </w:pPr>
          </w:p>
        </w:tc>
        <w:tc>
          <w:tcPr>
            <w:tcW w:w="1943" w:type="dxa"/>
            <w:vMerge/>
            <w:shd w:val="clear" w:color="auto" w:fill="auto"/>
            <w:vAlign w:val="center"/>
          </w:tcPr>
          <w:p w14:paraId="262F3063" w14:textId="77777777" w:rsidR="00CD4235" w:rsidRPr="00E34BCA" w:rsidRDefault="00CD4235" w:rsidP="00277810">
            <w:pPr>
              <w:jc w:val="both"/>
              <w:rPr>
                <w:color w:val="FF0000"/>
                <w:sz w:val="28"/>
                <w:szCs w:val="28"/>
                <w:lang w:val="es-ES_tradnl"/>
              </w:rPr>
            </w:pPr>
          </w:p>
        </w:tc>
        <w:tc>
          <w:tcPr>
            <w:tcW w:w="6520" w:type="dxa"/>
            <w:shd w:val="clear" w:color="auto" w:fill="auto"/>
            <w:vAlign w:val="center"/>
          </w:tcPr>
          <w:p w14:paraId="7B600EA4" w14:textId="646DA88E" w:rsidR="00CD4235" w:rsidRPr="00992DC3" w:rsidRDefault="00CD4235" w:rsidP="00277810">
            <w:pPr>
              <w:jc w:val="both"/>
              <w:rPr>
                <w:sz w:val="28"/>
                <w:szCs w:val="28"/>
                <w:lang w:val="es-ES_tradnl"/>
              </w:rPr>
            </w:pPr>
            <w:r w:rsidRPr="00992DC3">
              <w:rPr>
                <w:sz w:val="28"/>
                <w:szCs w:val="28"/>
                <w:lang w:val="es-ES_tradnl"/>
              </w:rPr>
              <w:t xml:space="preserve">- Điều 5 </w:t>
            </w:r>
            <w:r w:rsidRPr="00992DC3">
              <w:rPr>
                <w:bCs/>
                <w:sz w:val="28"/>
                <w:szCs w:val="28"/>
                <w:lang w:val="vi-VN"/>
              </w:rPr>
              <w:t>Nguyên tắc áp dụng chế độ ưu đãi miễn</w:t>
            </w:r>
            <w:r w:rsidRPr="00992DC3">
              <w:rPr>
                <w:bCs/>
                <w:sz w:val="28"/>
                <w:szCs w:val="28"/>
                <w:lang w:val="es-ES_tradnl"/>
              </w:rPr>
              <w:t xml:space="preserve">, </w:t>
            </w:r>
            <w:r w:rsidRPr="00992DC3">
              <w:rPr>
                <w:bCs/>
                <w:sz w:val="28"/>
                <w:szCs w:val="28"/>
                <w:u w:val="single"/>
                <w:lang w:val="es-ES_tradnl"/>
              </w:rPr>
              <w:t>giảm</w:t>
            </w:r>
            <w:r w:rsidRPr="00992DC3">
              <w:rPr>
                <w:bCs/>
                <w:sz w:val="28"/>
                <w:szCs w:val="28"/>
                <w:lang w:val="vi-VN"/>
              </w:rPr>
              <w:t xml:space="preserve"> tiền thuê đất</w:t>
            </w:r>
          </w:p>
        </w:tc>
        <w:tc>
          <w:tcPr>
            <w:tcW w:w="5818" w:type="dxa"/>
            <w:shd w:val="clear" w:color="auto" w:fill="auto"/>
            <w:noWrap/>
          </w:tcPr>
          <w:p w14:paraId="2F1EB120" w14:textId="16371556" w:rsidR="00CD4235" w:rsidRPr="00992DC3" w:rsidRDefault="00CD4235" w:rsidP="007518F0">
            <w:pPr>
              <w:jc w:val="both"/>
              <w:rPr>
                <w:sz w:val="28"/>
                <w:szCs w:val="28"/>
                <w:lang w:val="es-ES_tradnl"/>
              </w:rPr>
            </w:pPr>
            <w:r w:rsidRPr="00992DC3">
              <w:rPr>
                <w:sz w:val="28"/>
                <w:szCs w:val="28"/>
                <w:lang w:val="es-ES_tradnl"/>
              </w:rPr>
              <w:t>Không tiếp thu, nội dung góp ý tại Điều 4 ở trên</w:t>
            </w:r>
          </w:p>
        </w:tc>
      </w:tr>
      <w:tr w:rsidR="00CD4235" w:rsidRPr="007518F0" w14:paraId="705C29D1" w14:textId="77777777" w:rsidTr="00080359">
        <w:trPr>
          <w:trHeight w:val="401"/>
        </w:trPr>
        <w:tc>
          <w:tcPr>
            <w:tcW w:w="746" w:type="dxa"/>
            <w:vMerge/>
            <w:shd w:val="clear" w:color="auto" w:fill="auto"/>
            <w:vAlign w:val="center"/>
          </w:tcPr>
          <w:p w14:paraId="0C70D46A" w14:textId="77777777" w:rsidR="00CD4235" w:rsidRPr="00E34BCA" w:rsidRDefault="00CD4235" w:rsidP="00277810">
            <w:pPr>
              <w:jc w:val="both"/>
              <w:rPr>
                <w:color w:val="FF0000"/>
                <w:sz w:val="28"/>
                <w:szCs w:val="28"/>
                <w:lang w:val="es-ES_tradnl"/>
              </w:rPr>
            </w:pPr>
          </w:p>
        </w:tc>
        <w:tc>
          <w:tcPr>
            <w:tcW w:w="1943" w:type="dxa"/>
            <w:vMerge w:val="restart"/>
            <w:shd w:val="clear" w:color="auto" w:fill="auto"/>
            <w:vAlign w:val="center"/>
          </w:tcPr>
          <w:p w14:paraId="5F91988F" w14:textId="77777777" w:rsidR="00CD4235" w:rsidRPr="00E34BCA" w:rsidRDefault="00CD4235" w:rsidP="00277810">
            <w:pPr>
              <w:jc w:val="both"/>
              <w:rPr>
                <w:color w:val="FF0000"/>
                <w:sz w:val="28"/>
                <w:szCs w:val="28"/>
                <w:lang w:val="es-ES_tradnl"/>
              </w:rPr>
            </w:pPr>
          </w:p>
        </w:tc>
        <w:tc>
          <w:tcPr>
            <w:tcW w:w="6520" w:type="dxa"/>
            <w:shd w:val="clear" w:color="auto" w:fill="auto"/>
            <w:vAlign w:val="center"/>
          </w:tcPr>
          <w:p w14:paraId="6F968CAC" w14:textId="0ED5B77F" w:rsidR="00CD4235" w:rsidRPr="00992DC3" w:rsidRDefault="00CD4235" w:rsidP="00277810">
            <w:pPr>
              <w:jc w:val="both"/>
              <w:rPr>
                <w:sz w:val="28"/>
                <w:szCs w:val="28"/>
                <w:lang w:val="en-GB"/>
              </w:rPr>
            </w:pPr>
            <w:r w:rsidRPr="00992DC3">
              <w:rPr>
                <w:sz w:val="28"/>
                <w:szCs w:val="28"/>
                <w:lang w:val="vi-VN"/>
              </w:rPr>
              <w:t>Đề ngh</w:t>
            </w:r>
            <w:r w:rsidRPr="00992DC3">
              <w:rPr>
                <w:sz w:val="28"/>
                <w:szCs w:val="28"/>
                <w:lang w:val="es-ES_tradnl"/>
              </w:rPr>
              <w:t xml:space="preserve">ị xem xét từ “Không” </w:t>
            </w:r>
            <w:r w:rsidRPr="007518F0">
              <w:rPr>
                <w:sz w:val="28"/>
                <w:szCs w:val="28"/>
                <w:lang w:val="vi-VN"/>
              </w:rPr>
              <w:t xml:space="preserve">1. </w:t>
            </w:r>
            <w:r w:rsidRPr="007518F0">
              <w:rPr>
                <w:sz w:val="28"/>
                <w:szCs w:val="28"/>
                <w:u w:val="single"/>
                <w:lang w:val="vi-VN"/>
              </w:rPr>
              <w:t>Không</w:t>
            </w:r>
            <w:r w:rsidRPr="007518F0">
              <w:rPr>
                <w:sz w:val="28"/>
                <w:szCs w:val="28"/>
                <w:lang w:val="vi-VN"/>
              </w:rPr>
              <w:t xml:space="preserve"> áp dụng miễn tiền thuê đất đối với các dự án đầu tư xã hội hóa theo quy </w:t>
            </w:r>
            <w:r w:rsidRPr="007518F0">
              <w:rPr>
                <w:sz w:val="28"/>
                <w:szCs w:val="28"/>
                <w:lang w:val="vi-VN"/>
              </w:rPr>
              <w:lastRenderedPageBreak/>
              <w:t>định của Điều 4 Nghị quyết này trong trường hợp dự án sử dụng đất thương mại dịch vụ; dự án được nhà nước cho thuê đất thông qua đấu giá quyền sử dụng đất.</w:t>
            </w:r>
          </w:p>
        </w:tc>
        <w:tc>
          <w:tcPr>
            <w:tcW w:w="5818" w:type="dxa"/>
            <w:shd w:val="clear" w:color="auto" w:fill="auto"/>
            <w:noWrap/>
          </w:tcPr>
          <w:p w14:paraId="207C0C4B" w14:textId="69E59346" w:rsidR="00CD4235" w:rsidRPr="0017603F" w:rsidRDefault="00CD4235" w:rsidP="0017603F">
            <w:pPr>
              <w:jc w:val="both"/>
              <w:rPr>
                <w:i/>
                <w:iCs/>
                <w:sz w:val="28"/>
                <w:szCs w:val="28"/>
                <w:lang w:val="vi-VN"/>
              </w:rPr>
            </w:pPr>
            <w:r w:rsidRPr="00992DC3">
              <w:rPr>
                <w:sz w:val="28"/>
                <w:szCs w:val="28"/>
                <w:lang w:val="es-ES_tradnl"/>
              </w:rPr>
              <w:lastRenderedPageBreak/>
              <w:t>Không tiếp thu</w:t>
            </w:r>
            <w:r>
              <w:rPr>
                <w:sz w:val="28"/>
                <w:szCs w:val="28"/>
                <w:lang w:val="es-ES_tradnl"/>
              </w:rPr>
              <w:t>.</w:t>
            </w:r>
            <w:r w:rsidRPr="0017603F">
              <w:rPr>
                <w:sz w:val="28"/>
                <w:szCs w:val="28"/>
                <w:lang w:val="vi-VN"/>
              </w:rPr>
              <w:t xml:space="preserve"> Lý do: </w:t>
            </w:r>
            <w:r w:rsidRPr="0017603F">
              <w:rPr>
                <w:sz w:val="28"/>
                <w:szCs w:val="28"/>
                <w:lang w:val="vi-VN"/>
              </w:rPr>
              <w:t>Điểm a khoản 1 Điều 157 Luật Đất đai năm 2024 quy định như sau:</w:t>
            </w:r>
            <w:bookmarkStart w:id="3" w:name="dieu_157"/>
            <w:r w:rsidRPr="0017603F">
              <w:rPr>
                <w:sz w:val="28"/>
                <w:szCs w:val="28"/>
                <w:lang w:val="vi-VN"/>
              </w:rPr>
              <w:t xml:space="preserve"> </w:t>
            </w:r>
            <w:r w:rsidRPr="0017603F">
              <w:rPr>
                <w:i/>
                <w:iCs/>
                <w:sz w:val="28"/>
                <w:szCs w:val="28"/>
                <w:lang w:val="vi-VN"/>
              </w:rPr>
              <w:t>“</w:t>
            </w:r>
            <w:bookmarkEnd w:id="3"/>
            <w:r w:rsidRPr="0017603F">
              <w:rPr>
                <w:i/>
                <w:iCs/>
                <w:sz w:val="28"/>
                <w:szCs w:val="28"/>
                <w:lang w:val="vi-VN"/>
              </w:rPr>
              <w:t xml:space="preserve">1. Việc </w:t>
            </w:r>
            <w:r w:rsidRPr="0017603F">
              <w:rPr>
                <w:i/>
                <w:iCs/>
                <w:sz w:val="28"/>
                <w:szCs w:val="28"/>
                <w:lang w:val="vi-VN"/>
              </w:rPr>
              <w:lastRenderedPageBreak/>
              <w:t>miễn, giảm tiền sử dụng đất, tiền thuê đất được thực hiện trong các trường hợp sau đây:</w:t>
            </w:r>
          </w:p>
          <w:p w14:paraId="7D9FA3CF" w14:textId="274FE682" w:rsidR="00CD4235" w:rsidRPr="0017603F" w:rsidRDefault="00CD4235" w:rsidP="007518F0">
            <w:pPr>
              <w:jc w:val="both"/>
              <w:rPr>
                <w:b/>
                <w:bCs/>
                <w:i/>
                <w:sz w:val="28"/>
                <w:szCs w:val="28"/>
                <w:lang w:val="en-GB"/>
              </w:rPr>
            </w:pPr>
            <w:r w:rsidRPr="0017603F">
              <w:rPr>
                <w:i/>
                <w:iCs/>
                <w:sz w:val="28"/>
                <w:szCs w:val="28"/>
                <w:lang w:val="vi-VN"/>
              </w:rPr>
              <w:t xml:space="preserve">a) Sử dụng đất vào mục đích sản xuất, kinh doanh thuộc lĩnh vực ưu đãi đầu tư hoặc tại địa bàn ưu đãi đầu tư theo quy định của pháp luật về đầu tư và pháp luật có liên quan, </w:t>
            </w:r>
            <w:r w:rsidRPr="0017603F">
              <w:rPr>
                <w:i/>
                <w:iCs/>
                <w:sz w:val="28"/>
                <w:szCs w:val="28"/>
                <w:u w:val="single"/>
                <w:lang w:val="vi-VN"/>
              </w:rPr>
              <w:t>trừ trường hợp sử dụng đất</w:t>
            </w:r>
            <w:r w:rsidRPr="0017603F">
              <w:rPr>
                <w:i/>
                <w:iCs/>
                <w:sz w:val="28"/>
                <w:szCs w:val="28"/>
                <w:lang w:val="vi-VN"/>
              </w:rPr>
              <w:t xml:space="preserve"> xây dựng nhà ở thương mại, sử dụng đất </w:t>
            </w:r>
            <w:r w:rsidRPr="0017603F">
              <w:rPr>
                <w:i/>
                <w:iCs/>
                <w:sz w:val="28"/>
                <w:szCs w:val="28"/>
                <w:u w:val="single"/>
                <w:lang w:val="vi-VN"/>
              </w:rPr>
              <w:t>thương mại, dịch vụ</w:t>
            </w:r>
            <w:r w:rsidRPr="0017603F">
              <w:rPr>
                <w:i/>
                <w:iCs/>
                <w:sz w:val="28"/>
                <w:szCs w:val="28"/>
                <w:lang w:val="vi-VN"/>
              </w:rPr>
              <w:t>”</w:t>
            </w:r>
            <w:r w:rsidRPr="0017603F">
              <w:rPr>
                <w:iCs/>
                <w:sz w:val="28"/>
                <w:szCs w:val="28"/>
                <w:lang w:val="vi-VN"/>
              </w:rPr>
              <w:t>;</w:t>
            </w:r>
          </w:p>
        </w:tc>
      </w:tr>
      <w:tr w:rsidR="00CD4235" w:rsidRPr="007518F0" w14:paraId="50D14F28" w14:textId="77777777" w:rsidTr="00080359">
        <w:trPr>
          <w:trHeight w:val="401"/>
        </w:trPr>
        <w:tc>
          <w:tcPr>
            <w:tcW w:w="746" w:type="dxa"/>
            <w:vMerge/>
            <w:shd w:val="clear" w:color="auto" w:fill="auto"/>
            <w:vAlign w:val="center"/>
          </w:tcPr>
          <w:p w14:paraId="3AF9DB36" w14:textId="77777777" w:rsidR="00CD4235" w:rsidRPr="00E34BCA" w:rsidRDefault="00CD4235" w:rsidP="00277810">
            <w:pPr>
              <w:jc w:val="both"/>
              <w:rPr>
                <w:color w:val="FF0000"/>
                <w:sz w:val="28"/>
                <w:szCs w:val="28"/>
                <w:lang w:val="es-ES_tradnl"/>
              </w:rPr>
            </w:pPr>
          </w:p>
        </w:tc>
        <w:tc>
          <w:tcPr>
            <w:tcW w:w="1943" w:type="dxa"/>
            <w:vMerge/>
            <w:shd w:val="clear" w:color="auto" w:fill="auto"/>
            <w:vAlign w:val="center"/>
          </w:tcPr>
          <w:p w14:paraId="1E5B7226" w14:textId="77777777" w:rsidR="00CD4235" w:rsidRPr="00E34BCA" w:rsidRDefault="00CD4235" w:rsidP="00277810">
            <w:pPr>
              <w:jc w:val="both"/>
              <w:rPr>
                <w:color w:val="FF0000"/>
                <w:sz w:val="28"/>
                <w:szCs w:val="28"/>
                <w:lang w:val="es-ES_tradnl"/>
              </w:rPr>
            </w:pPr>
          </w:p>
        </w:tc>
        <w:tc>
          <w:tcPr>
            <w:tcW w:w="6520" w:type="dxa"/>
            <w:shd w:val="clear" w:color="auto" w:fill="auto"/>
            <w:vAlign w:val="center"/>
          </w:tcPr>
          <w:p w14:paraId="3536D2E1" w14:textId="378A8088" w:rsidR="00CD4235" w:rsidRDefault="00CD4235" w:rsidP="00277810">
            <w:pPr>
              <w:jc w:val="both"/>
              <w:rPr>
                <w:color w:val="FF0000"/>
                <w:sz w:val="28"/>
                <w:szCs w:val="28"/>
                <w:lang w:val="es-ES_tradnl"/>
              </w:rPr>
            </w:pPr>
            <w:r w:rsidRPr="00307D09">
              <w:rPr>
                <w:sz w:val="28"/>
                <w:szCs w:val="28"/>
                <w:lang w:val="es-ES_tradnl"/>
              </w:rPr>
              <w:t xml:space="preserve">Bổ sung thêm khoản 4 Điều 5 </w:t>
            </w:r>
            <w:r w:rsidRPr="00307D09">
              <w:rPr>
                <w:i/>
                <w:iCs/>
                <w:sz w:val="28"/>
                <w:szCs w:val="28"/>
                <w:lang w:val="es-ES_tradnl"/>
              </w:rPr>
              <w:t>“4. Người sử dụng đất được giảm tiền thuế đất khi đầu tư các dự án phục vụ công ích xã hội, đầu tư ở vùng sâu, vùng xa, vùng đồng bào dân tộc thiểu số”</w:t>
            </w:r>
          </w:p>
        </w:tc>
        <w:tc>
          <w:tcPr>
            <w:tcW w:w="5818" w:type="dxa"/>
            <w:shd w:val="clear" w:color="auto" w:fill="auto"/>
            <w:noWrap/>
          </w:tcPr>
          <w:p w14:paraId="1344C8A0" w14:textId="0D3FA377" w:rsidR="00CD4235" w:rsidRPr="00080359" w:rsidRDefault="00CD4235" w:rsidP="007518F0">
            <w:pPr>
              <w:jc w:val="both"/>
              <w:rPr>
                <w:color w:val="FF0000"/>
                <w:sz w:val="28"/>
                <w:szCs w:val="28"/>
                <w:lang w:val="vi-VN"/>
              </w:rPr>
            </w:pPr>
            <w:r w:rsidRPr="00992DC3">
              <w:rPr>
                <w:sz w:val="28"/>
                <w:szCs w:val="28"/>
                <w:lang w:val="es-ES_tradnl"/>
              </w:rPr>
              <w:t>Không tiếp thu</w:t>
            </w:r>
            <w:r>
              <w:rPr>
                <w:sz w:val="28"/>
                <w:szCs w:val="28"/>
                <w:lang w:val="es-ES_tradnl"/>
              </w:rPr>
              <w:t>.</w:t>
            </w:r>
            <w:r w:rsidRPr="0017603F">
              <w:rPr>
                <w:sz w:val="28"/>
                <w:szCs w:val="28"/>
                <w:lang w:val="vi-VN"/>
              </w:rPr>
              <w:t xml:space="preserve"> Lý do:</w:t>
            </w:r>
            <w:r w:rsidRPr="00080359">
              <w:rPr>
                <w:sz w:val="28"/>
                <w:szCs w:val="28"/>
                <w:lang w:val="vi-VN"/>
              </w:rPr>
              <w:t xml:space="preserve"> Tại </w:t>
            </w:r>
            <w:r>
              <w:rPr>
                <w:sz w:val="28"/>
                <w:szCs w:val="28"/>
                <w:lang w:val="vi-VN"/>
              </w:rPr>
              <w:t>đ</w:t>
            </w:r>
            <w:r w:rsidRPr="00080359">
              <w:rPr>
                <w:sz w:val="28"/>
                <w:szCs w:val="28"/>
                <w:lang w:val="vi-VN"/>
              </w:rPr>
              <w:t>i</w:t>
            </w:r>
            <w:r>
              <w:rPr>
                <w:sz w:val="28"/>
                <w:szCs w:val="28"/>
                <w:lang w:val="vi-VN"/>
              </w:rPr>
              <w:t>ề</w:t>
            </w:r>
            <w:r w:rsidRPr="00080359">
              <w:rPr>
                <w:sz w:val="28"/>
                <w:szCs w:val="28"/>
                <w:lang w:val="vi-VN"/>
              </w:rPr>
              <w:t xml:space="preserve">u 4 </w:t>
            </w:r>
            <w:r>
              <w:rPr>
                <w:sz w:val="28"/>
                <w:szCs w:val="28"/>
                <w:lang w:val="vi-VN"/>
              </w:rPr>
              <w:t>đã</w:t>
            </w:r>
            <w:r w:rsidRPr="00080359">
              <w:rPr>
                <w:sz w:val="28"/>
                <w:szCs w:val="28"/>
                <w:lang w:val="vi-VN"/>
              </w:rPr>
              <w:t xml:space="preserve"> thực hiện m</w:t>
            </w:r>
            <w:r w:rsidRPr="00080359">
              <w:rPr>
                <w:sz w:val="28"/>
                <w:szCs w:val="28"/>
                <w:lang w:val="vi-VN"/>
              </w:rPr>
              <w:t>iễn tiền thuê đất cho toàn bộ thời hạn hoạt động dự án</w:t>
            </w:r>
            <w:r w:rsidRPr="00080359">
              <w:rPr>
                <w:sz w:val="28"/>
                <w:szCs w:val="28"/>
                <w:lang w:val="vi-VN"/>
              </w:rPr>
              <w:t xml:space="preserve"> trên địa bàn tỉnh Tây Ninh.</w:t>
            </w:r>
          </w:p>
        </w:tc>
      </w:tr>
      <w:tr w:rsidR="00AD49F7" w:rsidRPr="00B3156A" w14:paraId="489C2B2C" w14:textId="77777777" w:rsidTr="00080359">
        <w:trPr>
          <w:trHeight w:val="695"/>
        </w:trPr>
        <w:tc>
          <w:tcPr>
            <w:tcW w:w="746" w:type="dxa"/>
            <w:shd w:val="clear" w:color="auto" w:fill="auto"/>
            <w:vAlign w:val="center"/>
          </w:tcPr>
          <w:p w14:paraId="0BF1861D" w14:textId="056292F1" w:rsidR="00BE1B91" w:rsidRPr="00AD49F7" w:rsidRDefault="00B3156A" w:rsidP="00CD4235">
            <w:pPr>
              <w:jc w:val="center"/>
              <w:rPr>
                <w:color w:val="FF0000"/>
                <w:sz w:val="28"/>
                <w:szCs w:val="28"/>
              </w:rPr>
            </w:pPr>
            <w:r w:rsidRPr="00B3156A">
              <w:rPr>
                <w:b/>
                <w:bCs/>
                <w:sz w:val="28"/>
                <w:szCs w:val="28"/>
              </w:rPr>
              <w:t>3</w:t>
            </w:r>
          </w:p>
        </w:tc>
        <w:tc>
          <w:tcPr>
            <w:tcW w:w="1943" w:type="dxa"/>
            <w:shd w:val="clear" w:color="auto" w:fill="auto"/>
            <w:vAlign w:val="center"/>
          </w:tcPr>
          <w:p w14:paraId="4BB2C7DF" w14:textId="0D6AD7BC" w:rsidR="00BE1B91" w:rsidRPr="00AD49F7" w:rsidRDefault="006C08BF" w:rsidP="00277810">
            <w:pPr>
              <w:jc w:val="both"/>
              <w:rPr>
                <w:color w:val="FF0000"/>
                <w:sz w:val="28"/>
                <w:szCs w:val="28"/>
              </w:rPr>
            </w:pPr>
            <w:r w:rsidRPr="00723C88">
              <w:rPr>
                <w:sz w:val="28"/>
                <w:szCs w:val="28"/>
              </w:rPr>
              <w:t xml:space="preserve">Sở </w:t>
            </w:r>
            <w:r>
              <w:rPr>
                <w:sz w:val="28"/>
                <w:szCs w:val="28"/>
              </w:rPr>
              <w:t>Công Thương</w:t>
            </w:r>
            <w:r w:rsidRPr="00723C88">
              <w:rPr>
                <w:sz w:val="28"/>
                <w:szCs w:val="28"/>
              </w:rPr>
              <w:t xml:space="preserve"> (Công văn số </w:t>
            </w:r>
            <w:r>
              <w:rPr>
                <w:sz w:val="28"/>
                <w:szCs w:val="28"/>
              </w:rPr>
              <w:t>2653/SCT-VP ngày 18/10/2024</w:t>
            </w:r>
            <w:r w:rsidRPr="00723C88">
              <w:rPr>
                <w:sz w:val="28"/>
                <w:szCs w:val="28"/>
              </w:rPr>
              <w:t>)</w:t>
            </w:r>
          </w:p>
        </w:tc>
        <w:tc>
          <w:tcPr>
            <w:tcW w:w="6520" w:type="dxa"/>
            <w:shd w:val="clear" w:color="auto" w:fill="auto"/>
            <w:vAlign w:val="center"/>
          </w:tcPr>
          <w:p w14:paraId="24AA9ED7" w14:textId="2FA0E239" w:rsidR="00BE1B91" w:rsidRPr="00B3156A" w:rsidRDefault="00B3156A" w:rsidP="00277810">
            <w:pPr>
              <w:jc w:val="both"/>
              <w:rPr>
                <w:sz w:val="28"/>
                <w:szCs w:val="28"/>
              </w:rPr>
            </w:pPr>
            <w:r w:rsidRPr="00B3156A">
              <w:rPr>
                <w:sz w:val="28"/>
                <w:szCs w:val="28"/>
              </w:rPr>
              <w:t xml:space="preserve">Lựa chọn </w:t>
            </w:r>
            <w:r w:rsidR="006C08BF" w:rsidRPr="00B3156A">
              <w:rPr>
                <w:sz w:val="28"/>
                <w:szCs w:val="28"/>
              </w:rPr>
              <w:t xml:space="preserve">Phương án 2. Bổ sung </w:t>
            </w:r>
            <w:r w:rsidRPr="00B3156A">
              <w:rPr>
                <w:sz w:val="28"/>
                <w:szCs w:val="28"/>
              </w:rPr>
              <w:t>Quy định rõ mức độ tình trạng giải phóng mặt bằng để làm rõ từng trường hợp áp dụng miễn tiền thuê đất</w:t>
            </w:r>
            <w:r w:rsidRPr="00B3156A">
              <w:rPr>
                <w:sz w:val="28"/>
                <w:szCs w:val="28"/>
              </w:rPr>
              <w:t>,</w:t>
            </w:r>
            <w:r w:rsidRPr="00B3156A">
              <w:rPr>
                <w:szCs w:val="28"/>
              </w:rPr>
              <w:t xml:space="preserve"> </w:t>
            </w:r>
            <w:r w:rsidRPr="00B3156A">
              <w:rPr>
                <w:sz w:val="28"/>
                <w:szCs w:val="28"/>
              </w:rPr>
              <w:t>Danh mục</w:t>
            </w:r>
            <w:r w:rsidRPr="00B3156A">
              <w:rPr>
                <w:sz w:val="28"/>
                <w:szCs w:val="28"/>
              </w:rPr>
              <w:t xml:space="preserve"> dự án.</w:t>
            </w:r>
          </w:p>
        </w:tc>
        <w:tc>
          <w:tcPr>
            <w:tcW w:w="5818" w:type="dxa"/>
            <w:shd w:val="clear" w:color="auto" w:fill="auto"/>
            <w:noWrap/>
          </w:tcPr>
          <w:p w14:paraId="67AD5FAF" w14:textId="77777777" w:rsidR="00B3156A" w:rsidRPr="00E34BCA" w:rsidRDefault="00B3156A" w:rsidP="00B3156A">
            <w:pPr>
              <w:jc w:val="both"/>
              <w:rPr>
                <w:sz w:val="28"/>
                <w:szCs w:val="28"/>
                <w:lang w:val="es-ES_tradnl"/>
              </w:rPr>
            </w:pPr>
            <w:r w:rsidRPr="00E34BCA">
              <w:rPr>
                <w:sz w:val="28"/>
                <w:szCs w:val="28"/>
                <w:lang w:val="es-ES_tradnl"/>
              </w:rPr>
              <w:t>- Ý kiến thống nhất lựa chọn phương án 1 của các đơn vị.</w:t>
            </w:r>
          </w:p>
          <w:p w14:paraId="013CB60A" w14:textId="77B3965D" w:rsidR="00B3156A" w:rsidRPr="00E34BCA" w:rsidRDefault="00B3156A" w:rsidP="00B3156A">
            <w:pPr>
              <w:jc w:val="both"/>
              <w:rPr>
                <w:sz w:val="28"/>
                <w:szCs w:val="28"/>
                <w:lang w:val="es-ES_tradnl"/>
              </w:rPr>
            </w:pPr>
            <w:r w:rsidRPr="00E34BCA">
              <w:rPr>
                <w:sz w:val="28"/>
                <w:szCs w:val="28"/>
                <w:lang w:val="es-ES_tradnl"/>
              </w:rPr>
              <w:t xml:space="preserve">- </w:t>
            </w:r>
            <w:r w:rsidR="00CD4235">
              <w:rPr>
                <w:sz w:val="28"/>
                <w:szCs w:val="28"/>
                <w:lang w:val="es-ES_tradnl"/>
              </w:rPr>
              <w:t>Thực tiễn địa phương đ</w:t>
            </w:r>
            <w:r w:rsidR="00CD4235" w:rsidRPr="00E34BCA">
              <w:rPr>
                <w:sz w:val="28"/>
                <w:szCs w:val="28"/>
                <w:lang w:val="es-ES_tradnl"/>
              </w:rPr>
              <w:t xml:space="preserve">ã </w:t>
            </w:r>
            <w:r w:rsidRPr="00E34BCA">
              <w:rPr>
                <w:sz w:val="28"/>
                <w:szCs w:val="28"/>
                <w:lang w:val="es-ES_tradnl"/>
              </w:rPr>
              <w:t>thực hiện miễn tiền thuê đất cho cả thời gian được nhà nước cho thuê đất theo Quyết định số 76/2014/QĐ-UBND ngày 24/12/2014 của UBND tỉnh về quy định chế độ miễn, giảm tiền thuê đất đối với cơ sở thực hiện xã hội hóa sử dụng đất trong khu vực đô thị trên địa bàn tỉnh Tây Ninh.</w:t>
            </w:r>
          </w:p>
          <w:p w14:paraId="13093CBE" w14:textId="77777777" w:rsidR="00BE1B91" w:rsidRPr="00B3156A" w:rsidRDefault="00B3156A" w:rsidP="00B3156A">
            <w:pPr>
              <w:ind w:firstLine="170"/>
              <w:jc w:val="both"/>
              <w:rPr>
                <w:sz w:val="28"/>
                <w:szCs w:val="28"/>
                <w:lang w:val="es-ES_tradnl"/>
              </w:rPr>
            </w:pPr>
            <w:r w:rsidRPr="00E34BCA">
              <w:rPr>
                <w:sz w:val="28"/>
                <w:szCs w:val="28"/>
                <w:lang w:val="es-ES_tradnl"/>
              </w:rPr>
              <w:t>- Thực hiện kết luận của Ban Chấp hành Đảng bộ tỉnh (Thông báo số 1205-TB/VPTU, ngày 20/12/2022) cho ý kiến đối với một số nội dung đề xuất trong lĩnh vực đất đai, đầu tư, quy hoạch. Trong đó, áp dụng chính sách ưu đãi đầu tư liên quan đến đất do Nhà nước quản lý (đất công): Các lĩnh vực áp dụng ưu đãi: Y tế, giáo dục, dạy nghề áp dụng trên địa bàn các huyện, thị xã, thành phố thuộc tỉnh.</w:t>
            </w:r>
          </w:p>
          <w:p w14:paraId="409C5601" w14:textId="7CBBF029" w:rsidR="00B3156A" w:rsidRPr="00B3156A" w:rsidRDefault="00B3156A" w:rsidP="00B3156A">
            <w:pPr>
              <w:jc w:val="both"/>
              <w:rPr>
                <w:sz w:val="28"/>
                <w:szCs w:val="28"/>
                <w:lang w:val="es-ES_tradnl"/>
              </w:rPr>
            </w:pPr>
            <w:r w:rsidRPr="00B3156A">
              <w:rPr>
                <w:sz w:val="28"/>
                <w:szCs w:val="28"/>
                <w:lang w:val="es-ES_tradnl"/>
              </w:rPr>
              <w:lastRenderedPageBreak/>
              <w:t xml:space="preserve">- Tiếp thu bổ sung </w:t>
            </w:r>
            <w:r w:rsidRPr="00B3156A">
              <w:rPr>
                <w:sz w:val="28"/>
                <w:szCs w:val="28"/>
                <w:lang w:val="es-ES_tradnl"/>
              </w:rPr>
              <w:t>Danh mục dự án</w:t>
            </w:r>
          </w:p>
        </w:tc>
      </w:tr>
      <w:tr w:rsidR="00534008" w:rsidRPr="00AD49F7" w14:paraId="155FD338" w14:textId="77777777" w:rsidTr="00CD4235">
        <w:trPr>
          <w:trHeight w:val="2577"/>
        </w:trPr>
        <w:tc>
          <w:tcPr>
            <w:tcW w:w="746" w:type="dxa"/>
            <w:shd w:val="clear" w:color="auto" w:fill="auto"/>
            <w:vAlign w:val="center"/>
          </w:tcPr>
          <w:p w14:paraId="5D24F44E" w14:textId="79D67A43" w:rsidR="00534008" w:rsidRPr="00CD4235" w:rsidRDefault="00534008" w:rsidP="00CD4235">
            <w:pPr>
              <w:jc w:val="center"/>
              <w:rPr>
                <w:b/>
                <w:bCs/>
                <w:sz w:val="28"/>
                <w:szCs w:val="28"/>
                <w:lang w:val="en-GB"/>
              </w:rPr>
            </w:pPr>
            <w:r w:rsidRPr="00CD4235">
              <w:rPr>
                <w:b/>
                <w:bCs/>
                <w:sz w:val="28"/>
                <w:szCs w:val="28"/>
                <w:lang w:val="en-GB"/>
              </w:rPr>
              <w:lastRenderedPageBreak/>
              <w:t>4</w:t>
            </w:r>
          </w:p>
        </w:tc>
        <w:tc>
          <w:tcPr>
            <w:tcW w:w="1943" w:type="dxa"/>
            <w:shd w:val="clear" w:color="auto" w:fill="auto"/>
            <w:vAlign w:val="center"/>
          </w:tcPr>
          <w:p w14:paraId="6DBD4926" w14:textId="7EA86F59" w:rsidR="00534008" w:rsidRPr="00211112" w:rsidRDefault="00211112" w:rsidP="00277810">
            <w:pPr>
              <w:jc w:val="both"/>
              <w:rPr>
                <w:sz w:val="28"/>
                <w:szCs w:val="28"/>
                <w:lang w:val="en-GB"/>
              </w:rPr>
            </w:pPr>
            <w:r w:rsidRPr="00211112">
              <w:rPr>
                <w:sz w:val="28"/>
                <w:szCs w:val="28"/>
                <w:lang w:val="en-GB"/>
              </w:rPr>
              <w:t>Thanh tra tỉnh 812/TTr-NV2 ngày 16/10/2024</w:t>
            </w:r>
          </w:p>
        </w:tc>
        <w:tc>
          <w:tcPr>
            <w:tcW w:w="6520" w:type="dxa"/>
            <w:shd w:val="clear" w:color="auto" w:fill="auto"/>
            <w:vAlign w:val="center"/>
          </w:tcPr>
          <w:p w14:paraId="11AC1777" w14:textId="3D4E1838" w:rsidR="00534008" w:rsidRPr="00211112" w:rsidRDefault="00211112" w:rsidP="00277810">
            <w:pPr>
              <w:jc w:val="both"/>
              <w:rPr>
                <w:sz w:val="28"/>
                <w:szCs w:val="28"/>
                <w:lang w:val="vi-VN"/>
              </w:rPr>
            </w:pPr>
            <w:r w:rsidRPr="00211112">
              <w:rPr>
                <w:sz w:val="28"/>
                <w:szCs w:val="28"/>
              </w:rPr>
              <w:t>góp ý chọn Phương án 2 cho phù hợp với điều kiện thực tế của địa phương.</w:t>
            </w:r>
          </w:p>
        </w:tc>
        <w:tc>
          <w:tcPr>
            <w:tcW w:w="5818" w:type="dxa"/>
            <w:shd w:val="clear" w:color="auto" w:fill="auto"/>
            <w:noWrap/>
          </w:tcPr>
          <w:p w14:paraId="120CEFFF" w14:textId="36CC28DA" w:rsidR="00534008" w:rsidRPr="00211112" w:rsidRDefault="00211112" w:rsidP="00211112">
            <w:pPr>
              <w:jc w:val="both"/>
              <w:rPr>
                <w:sz w:val="28"/>
                <w:szCs w:val="28"/>
                <w:lang w:val="vi-VN"/>
              </w:rPr>
            </w:pPr>
            <w:r>
              <w:rPr>
                <w:sz w:val="28"/>
                <w:szCs w:val="28"/>
                <w:lang w:val="es-ES_tradnl"/>
              </w:rPr>
              <w:t xml:space="preserve">Thực tế địa phương đã áp dụng </w:t>
            </w:r>
            <w:r w:rsidRPr="00E34BCA">
              <w:rPr>
                <w:sz w:val="28"/>
                <w:szCs w:val="28"/>
                <w:lang w:val="es-ES_tradnl"/>
              </w:rPr>
              <w:t>miễn tiền thuê đất cho cả thời gian được nhà nước cho thuê đất theo Quyết định số 76/2014/QĐ-UBND ngày 24/12/2014 của UBND tỉnh về quy định chế độ miễn, giảm tiền thuê đất đối với cơ sở thực hiện xã hội hóa sử dụng đất trong khu vực đô thị trên địa bàn tỉnh Tây Ninh</w:t>
            </w:r>
          </w:p>
        </w:tc>
      </w:tr>
    </w:tbl>
    <w:p w14:paraId="2A31036A" w14:textId="77777777" w:rsidR="00BE1B91" w:rsidRPr="00AD49F7" w:rsidRDefault="00BE1B91" w:rsidP="00BE1B91">
      <w:pPr>
        <w:rPr>
          <w:color w:val="FF0000"/>
          <w:lang w:val="vi-VN"/>
        </w:rPr>
      </w:pPr>
    </w:p>
    <w:p w14:paraId="4BA025E8" w14:textId="77777777" w:rsidR="00BF137D" w:rsidRPr="00AD49F7" w:rsidRDefault="00BF137D" w:rsidP="00BE1B91">
      <w:pPr>
        <w:rPr>
          <w:color w:val="FF0000"/>
          <w:lang w:val="vi-VN"/>
        </w:rPr>
      </w:pPr>
    </w:p>
    <w:sectPr w:rsidR="00BF137D" w:rsidRPr="00AD49F7" w:rsidSect="00CD4235">
      <w:headerReference w:type="default" r:id="rId8"/>
      <w:footerReference w:type="default" r:id="rId9"/>
      <w:pgSz w:w="16838" w:h="11906" w:orient="landscape"/>
      <w:pgMar w:top="851" w:right="992" w:bottom="993" w:left="1440" w:header="454" w:footer="454"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DCC7A" w14:textId="77777777" w:rsidR="001861DD" w:rsidRDefault="001861DD" w:rsidP="002A7210">
      <w:r>
        <w:separator/>
      </w:r>
    </w:p>
  </w:endnote>
  <w:endnote w:type="continuationSeparator" w:id="0">
    <w:p w14:paraId="10CB9078" w14:textId="77777777" w:rsidR="001861DD" w:rsidRDefault="001861DD" w:rsidP="002A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I-Times">
    <w:altName w:val="Times New Roman"/>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6C3ED" w14:textId="47F3BF66" w:rsidR="00BE54FC" w:rsidRDefault="00BE54FC" w:rsidP="00675EC8">
    <w:pPr>
      <w:pStyle w:val="Footer"/>
      <w:ind w:right="120"/>
      <w:jc w:val="right"/>
    </w:pPr>
  </w:p>
  <w:p w14:paraId="63A26157" w14:textId="77777777" w:rsidR="00BE54FC" w:rsidRDefault="00BE54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9486FC" w14:textId="77777777" w:rsidR="001861DD" w:rsidRDefault="001861DD" w:rsidP="002A7210">
      <w:r>
        <w:separator/>
      </w:r>
    </w:p>
  </w:footnote>
  <w:footnote w:type="continuationSeparator" w:id="0">
    <w:p w14:paraId="0DAEA54A" w14:textId="77777777" w:rsidR="001861DD" w:rsidRDefault="001861DD" w:rsidP="002A7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C2C43" w14:textId="64696E23" w:rsidR="00675EC8" w:rsidRDefault="00675EC8" w:rsidP="00CD4235">
    <w:pPr>
      <w:pStyle w:val="Header"/>
    </w:pPr>
  </w:p>
  <w:p w14:paraId="1290C8B5" w14:textId="77777777" w:rsidR="00675EC8" w:rsidRDefault="00675E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80FF8"/>
    <w:multiLevelType w:val="hybridMultilevel"/>
    <w:tmpl w:val="EC3AFBA8"/>
    <w:lvl w:ilvl="0" w:tplc="2064EA3E">
      <w:start w:val="4"/>
      <w:numFmt w:val="bullet"/>
      <w:lvlText w:val="-"/>
      <w:lvlJc w:val="left"/>
      <w:pPr>
        <w:ind w:left="674" w:hanging="360"/>
      </w:pPr>
      <w:rPr>
        <w:rFonts w:ascii="Times New Roman" w:eastAsia="Times New Roman" w:hAnsi="Times New Roman" w:cs="Times New Roman" w:hint="default"/>
      </w:rPr>
    </w:lvl>
    <w:lvl w:ilvl="1" w:tplc="042A0003" w:tentative="1">
      <w:start w:val="1"/>
      <w:numFmt w:val="bullet"/>
      <w:lvlText w:val="o"/>
      <w:lvlJc w:val="left"/>
      <w:pPr>
        <w:ind w:left="1394" w:hanging="360"/>
      </w:pPr>
      <w:rPr>
        <w:rFonts w:ascii="Courier New" w:hAnsi="Courier New" w:cs="Courier New" w:hint="default"/>
      </w:rPr>
    </w:lvl>
    <w:lvl w:ilvl="2" w:tplc="042A0005" w:tentative="1">
      <w:start w:val="1"/>
      <w:numFmt w:val="bullet"/>
      <w:lvlText w:val=""/>
      <w:lvlJc w:val="left"/>
      <w:pPr>
        <w:ind w:left="2114" w:hanging="360"/>
      </w:pPr>
      <w:rPr>
        <w:rFonts w:ascii="Wingdings" w:hAnsi="Wingdings" w:hint="default"/>
      </w:rPr>
    </w:lvl>
    <w:lvl w:ilvl="3" w:tplc="042A0001" w:tentative="1">
      <w:start w:val="1"/>
      <w:numFmt w:val="bullet"/>
      <w:lvlText w:val=""/>
      <w:lvlJc w:val="left"/>
      <w:pPr>
        <w:ind w:left="2834" w:hanging="360"/>
      </w:pPr>
      <w:rPr>
        <w:rFonts w:ascii="Symbol" w:hAnsi="Symbol" w:hint="default"/>
      </w:rPr>
    </w:lvl>
    <w:lvl w:ilvl="4" w:tplc="042A0003" w:tentative="1">
      <w:start w:val="1"/>
      <w:numFmt w:val="bullet"/>
      <w:lvlText w:val="o"/>
      <w:lvlJc w:val="left"/>
      <w:pPr>
        <w:ind w:left="3554" w:hanging="360"/>
      </w:pPr>
      <w:rPr>
        <w:rFonts w:ascii="Courier New" w:hAnsi="Courier New" w:cs="Courier New" w:hint="default"/>
      </w:rPr>
    </w:lvl>
    <w:lvl w:ilvl="5" w:tplc="042A0005" w:tentative="1">
      <w:start w:val="1"/>
      <w:numFmt w:val="bullet"/>
      <w:lvlText w:val=""/>
      <w:lvlJc w:val="left"/>
      <w:pPr>
        <w:ind w:left="4274" w:hanging="360"/>
      </w:pPr>
      <w:rPr>
        <w:rFonts w:ascii="Wingdings" w:hAnsi="Wingdings" w:hint="default"/>
      </w:rPr>
    </w:lvl>
    <w:lvl w:ilvl="6" w:tplc="042A0001" w:tentative="1">
      <w:start w:val="1"/>
      <w:numFmt w:val="bullet"/>
      <w:lvlText w:val=""/>
      <w:lvlJc w:val="left"/>
      <w:pPr>
        <w:ind w:left="4994" w:hanging="360"/>
      </w:pPr>
      <w:rPr>
        <w:rFonts w:ascii="Symbol" w:hAnsi="Symbol" w:hint="default"/>
      </w:rPr>
    </w:lvl>
    <w:lvl w:ilvl="7" w:tplc="042A0003" w:tentative="1">
      <w:start w:val="1"/>
      <w:numFmt w:val="bullet"/>
      <w:lvlText w:val="o"/>
      <w:lvlJc w:val="left"/>
      <w:pPr>
        <w:ind w:left="5714" w:hanging="360"/>
      </w:pPr>
      <w:rPr>
        <w:rFonts w:ascii="Courier New" w:hAnsi="Courier New" w:cs="Courier New" w:hint="default"/>
      </w:rPr>
    </w:lvl>
    <w:lvl w:ilvl="8" w:tplc="042A0005" w:tentative="1">
      <w:start w:val="1"/>
      <w:numFmt w:val="bullet"/>
      <w:lvlText w:val=""/>
      <w:lvlJc w:val="left"/>
      <w:pPr>
        <w:ind w:left="6434" w:hanging="360"/>
      </w:pPr>
      <w:rPr>
        <w:rFonts w:ascii="Wingdings" w:hAnsi="Wingdings" w:hint="default"/>
      </w:rPr>
    </w:lvl>
  </w:abstractNum>
  <w:abstractNum w:abstractNumId="1" w15:restartNumberingAfterBreak="0">
    <w:nsid w:val="597368EE"/>
    <w:multiLevelType w:val="hybridMultilevel"/>
    <w:tmpl w:val="5A4A48DE"/>
    <w:lvl w:ilvl="0" w:tplc="8D8E2D5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60317840">
    <w:abstractNumId w:val="1"/>
  </w:num>
  <w:num w:numId="2" w16cid:durableId="91434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3DD"/>
    <w:rsid w:val="00023B2C"/>
    <w:rsid w:val="00030598"/>
    <w:rsid w:val="00056D80"/>
    <w:rsid w:val="00080359"/>
    <w:rsid w:val="00084C41"/>
    <w:rsid w:val="000A53CC"/>
    <w:rsid w:val="000E6CEC"/>
    <w:rsid w:val="0014645E"/>
    <w:rsid w:val="00151CA8"/>
    <w:rsid w:val="0017603F"/>
    <w:rsid w:val="001861DD"/>
    <w:rsid w:val="001D4519"/>
    <w:rsid w:val="001F6E41"/>
    <w:rsid w:val="001F6EE1"/>
    <w:rsid w:val="002016D6"/>
    <w:rsid w:val="00211112"/>
    <w:rsid w:val="002221FB"/>
    <w:rsid w:val="00223A67"/>
    <w:rsid w:val="002240E2"/>
    <w:rsid w:val="00277810"/>
    <w:rsid w:val="002A7210"/>
    <w:rsid w:val="002C47BE"/>
    <w:rsid w:val="003074E3"/>
    <w:rsid w:val="00307D09"/>
    <w:rsid w:val="00314B7B"/>
    <w:rsid w:val="00325FE3"/>
    <w:rsid w:val="00332964"/>
    <w:rsid w:val="00335013"/>
    <w:rsid w:val="00341FDE"/>
    <w:rsid w:val="00345E9E"/>
    <w:rsid w:val="003605DC"/>
    <w:rsid w:val="0037067A"/>
    <w:rsid w:val="003747A0"/>
    <w:rsid w:val="003C3399"/>
    <w:rsid w:val="003E43D1"/>
    <w:rsid w:val="004169EF"/>
    <w:rsid w:val="004230A4"/>
    <w:rsid w:val="00432389"/>
    <w:rsid w:val="00450854"/>
    <w:rsid w:val="004A34E8"/>
    <w:rsid w:val="004A404F"/>
    <w:rsid w:val="004C5600"/>
    <w:rsid w:val="004D4F4B"/>
    <w:rsid w:val="004E3A06"/>
    <w:rsid w:val="004E42D0"/>
    <w:rsid w:val="00501C33"/>
    <w:rsid w:val="00534008"/>
    <w:rsid w:val="005454EC"/>
    <w:rsid w:val="0056129C"/>
    <w:rsid w:val="00584037"/>
    <w:rsid w:val="005963DD"/>
    <w:rsid w:val="005B2D07"/>
    <w:rsid w:val="005C17D9"/>
    <w:rsid w:val="005C4D70"/>
    <w:rsid w:val="005F6E53"/>
    <w:rsid w:val="006436E3"/>
    <w:rsid w:val="00675EC8"/>
    <w:rsid w:val="0068521E"/>
    <w:rsid w:val="006B2A0B"/>
    <w:rsid w:val="006C08BF"/>
    <w:rsid w:val="006E365C"/>
    <w:rsid w:val="006E71BB"/>
    <w:rsid w:val="006F1BDA"/>
    <w:rsid w:val="006F39DF"/>
    <w:rsid w:val="00723C88"/>
    <w:rsid w:val="00726A53"/>
    <w:rsid w:val="007518F0"/>
    <w:rsid w:val="00765890"/>
    <w:rsid w:val="00796464"/>
    <w:rsid w:val="007A282A"/>
    <w:rsid w:val="007B1AAD"/>
    <w:rsid w:val="00805D91"/>
    <w:rsid w:val="008322CC"/>
    <w:rsid w:val="00873203"/>
    <w:rsid w:val="008B39B4"/>
    <w:rsid w:val="00945990"/>
    <w:rsid w:val="00992DC3"/>
    <w:rsid w:val="009C6B72"/>
    <w:rsid w:val="009D08AC"/>
    <w:rsid w:val="009E469E"/>
    <w:rsid w:val="00A02C57"/>
    <w:rsid w:val="00A229E0"/>
    <w:rsid w:val="00A27E03"/>
    <w:rsid w:val="00A4368D"/>
    <w:rsid w:val="00A467BD"/>
    <w:rsid w:val="00A7522A"/>
    <w:rsid w:val="00A830D9"/>
    <w:rsid w:val="00A85921"/>
    <w:rsid w:val="00AD45DB"/>
    <w:rsid w:val="00AD49F7"/>
    <w:rsid w:val="00AE0E0B"/>
    <w:rsid w:val="00AE223C"/>
    <w:rsid w:val="00AE62C7"/>
    <w:rsid w:val="00AE7A9F"/>
    <w:rsid w:val="00B242CB"/>
    <w:rsid w:val="00B3156A"/>
    <w:rsid w:val="00BC387C"/>
    <w:rsid w:val="00BC4E21"/>
    <w:rsid w:val="00BE1B91"/>
    <w:rsid w:val="00BE54FC"/>
    <w:rsid w:val="00BF137D"/>
    <w:rsid w:val="00C23388"/>
    <w:rsid w:val="00C3679B"/>
    <w:rsid w:val="00C4391F"/>
    <w:rsid w:val="00C64CAA"/>
    <w:rsid w:val="00C75A8F"/>
    <w:rsid w:val="00C776C4"/>
    <w:rsid w:val="00C8303A"/>
    <w:rsid w:val="00C957AE"/>
    <w:rsid w:val="00CB2BD1"/>
    <w:rsid w:val="00CC13A7"/>
    <w:rsid w:val="00CD2D58"/>
    <w:rsid w:val="00CD4235"/>
    <w:rsid w:val="00D036AD"/>
    <w:rsid w:val="00D12F25"/>
    <w:rsid w:val="00D309D2"/>
    <w:rsid w:val="00D4635D"/>
    <w:rsid w:val="00D564C8"/>
    <w:rsid w:val="00DA1123"/>
    <w:rsid w:val="00DD0A04"/>
    <w:rsid w:val="00E33012"/>
    <w:rsid w:val="00E34BCA"/>
    <w:rsid w:val="00E75724"/>
    <w:rsid w:val="00E83C18"/>
    <w:rsid w:val="00EA31C5"/>
    <w:rsid w:val="00EB5C30"/>
    <w:rsid w:val="00EF244B"/>
    <w:rsid w:val="00F744B3"/>
    <w:rsid w:val="00F92140"/>
    <w:rsid w:val="00FB3C4F"/>
    <w:rsid w:val="00FC23AD"/>
    <w:rsid w:val="00FD610B"/>
    <w:rsid w:val="00FE0768"/>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B70F7"/>
  <w15:chartTrackingRefBased/>
  <w15:docId w15:val="{E9CCB95D-5F95-4445-B355-41D99A53C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3DD"/>
    <w:pPr>
      <w:spacing w:after="0" w:line="240" w:lineRule="auto"/>
    </w:pPr>
    <w:rPr>
      <w:rFonts w:ascii="Times New Roman" w:eastAsia="Times New Roman" w:hAnsi="Times New Roman" w:cs="Times New Roman"/>
      <w:kern w:val="0"/>
      <w:sz w:val="24"/>
      <w:szCs w:val="24"/>
      <w:lang w:val="en-US"/>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221FB"/>
    <w:pPr>
      <w:jc w:val="center"/>
    </w:pPr>
    <w:rPr>
      <w:rFonts w:ascii="VNI-Times" w:hAnsi="VNI-Times"/>
      <w:sz w:val="26"/>
      <w:szCs w:val="20"/>
    </w:rPr>
  </w:style>
  <w:style w:type="character" w:customStyle="1" w:styleId="BodyTextChar">
    <w:name w:val="Body Text Char"/>
    <w:basedOn w:val="DefaultParagraphFont"/>
    <w:link w:val="BodyText"/>
    <w:rsid w:val="002221FB"/>
    <w:rPr>
      <w:rFonts w:ascii="VNI-Times" w:eastAsia="Times New Roman" w:hAnsi="VNI-Times" w:cs="Times New Roman"/>
      <w:kern w:val="0"/>
      <w:sz w:val="26"/>
      <w:szCs w:val="20"/>
      <w:lang w:val="en-US"/>
      <w14:ligatures w14:val="none"/>
    </w:rPr>
  </w:style>
  <w:style w:type="paragraph" w:styleId="ListParagraph">
    <w:name w:val="List Paragraph"/>
    <w:basedOn w:val="Normal"/>
    <w:uiPriority w:val="99"/>
    <w:qFormat/>
    <w:rsid w:val="00432389"/>
    <w:pPr>
      <w:ind w:left="720"/>
      <w:contextualSpacing/>
    </w:pPr>
  </w:style>
  <w:style w:type="paragraph" w:styleId="Header">
    <w:name w:val="header"/>
    <w:basedOn w:val="Normal"/>
    <w:link w:val="HeaderChar"/>
    <w:uiPriority w:val="99"/>
    <w:unhideWhenUsed/>
    <w:rsid w:val="002A7210"/>
    <w:pPr>
      <w:tabs>
        <w:tab w:val="center" w:pos="4513"/>
        <w:tab w:val="right" w:pos="9026"/>
      </w:tabs>
    </w:pPr>
  </w:style>
  <w:style w:type="character" w:customStyle="1" w:styleId="HeaderChar">
    <w:name w:val="Header Char"/>
    <w:basedOn w:val="DefaultParagraphFont"/>
    <w:link w:val="Header"/>
    <w:uiPriority w:val="99"/>
    <w:rsid w:val="002A7210"/>
    <w:rPr>
      <w:rFonts w:ascii="Times New Roman" w:eastAsia="Times New Roman" w:hAnsi="Times New Roman" w:cs="Times New Roman"/>
      <w:kern w:val="0"/>
      <w:sz w:val="24"/>
      <w:szCs w:val="24"/>
      <w:lang w:val="en-US"/>
      <w14:ligatures w14:val="none"/>
    </w:rPr>
  </w:style>
  <w:style w:type="paragraph" w:styleId="Footer">
    <w:name w:val="footer"/>
    <w:basedOn w:val="Normal"/>
    <w:link w:val="FooterChar"/>
    <w:uiPriority w:val="99"/>
    <w:unhideWhenUsed/>
    <w:rsid w:val="002A7210"/>
    <w:pPr>
      <w:tabs>
        <w:tab w:val="center" w:pos="4513"/>
        <w:tab w:val="right" w:pos="9026"/>
      </w:tabs>
    </w:pPr>
  </w:style>
  <w:style w:type="character" w:customStyle="1" w:styleId="FooterChar">
    <w:name w:val="Footer Char"/>
    <w:basedOn w:val="DefaultParagraphFont"/>
    <w:link w:val="Footer"/>
    <w:uiPriority w:val="99"/>
    <w:rsid w:val="002A7210"/>
    <w:rPr>
      <w:rFonts w:ascii="Times New Roman" w:eastAsia="Times New Roman" w:hAnsi="Times New Roman" w:cs="Times New Roman"/>
      <w:kern w:val="0"/>
      <w:sz w:val="24"/>
      <w:szCs w:val="24"/>
      <w:lang w:val="en-US"/>
      <w14:ligatures w14:val="none"/>
    </w:rPr>
  </w:style>
  <w:style w:type="character" w:styleId="CommentReference">
    <w:name w:val="annotation reference"/>
    <w:basedOn w:val="DefaultParagraphFont"/>
    <w:uiPriority w:val="99"/>
    <w:semiHidden/>
    <w:unhideWhenUsed/>
    <w:rsid w:val="00BE54FC"/>
    <w:rPr>
      <w:sz w:val="16"/>
      <w:szCs w:val="16"/>
    </w:rPr>
  </w:style>
  <w:style w:type="paragraph" w:styleId="CommentText">
    <w:name w:val="annotation text"/>
    <w:basedOn w:val="Normal"/>
    <w:link w:val="CommentTextChar"/>
    <w:uiPriority w:val="99"/>
    <w:semiHidden/>
    <w:unhideWhenUsed/>
    <w:rsid w:val="00BE54FC"/>
    <w:rPr>
      <w:sz w:val="20"/>
      <w:szCs w:val="20"/>
    </w:rPr>
  </w:style>
  <w:style w:type="character" w:customStyle="1" w:styleId="CommentTextChar">
    <w:name w:val="Comment Text Char"/>
    <w:basedOn w:val="DefaultParagraphFont"/>
    <w:link w:val="CommentText"/>
    <w:uiPriority w:val="99"/>
    <w:semiHidden/>
    <w:rsid w:val="00BE54FC"/>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BE54FC"/>
    <w:rPr>
      <w:b/>
      <w:bCs/>
    </w:rPr>
  </w:style>
  <w:style w:type="character" w:customStyle="1" w:styleId="CommentSubjectChar">
    <w:name w:val="Comment Subject Char"/>
    <w:basedOn w:val="CommentTextChar"/>
    <w:link w:val="CommentSubject"/>
    <w:uiPriority w:val="99"/>
    <w:semiHidden/>
    <w:rsid w:val="00BE54FC"/>
    <w:rPr>
      <w:rFonts w:ascii="Times New Roman" w:eastAsia="Times New Roman" w:hAnsi="Times New Roman" w:cs="Times New Roman"/>
      <w:b/>
      <w:bCs/>
      <w:kern w:val="0"/>
      <w:sz w:val="20"/>
      <w:szCs w:val="20"/>
      <w:lang w:val="en-US"/>
      <w14:ligatures w14:val="none"/>
    </w:rPr>
  </w:style>
  <w:style w:type="paragraph" w:styleId="BodyTextIndent">
    <w:name w:val="Body Text Indent"/>
    <w:basedOn w:val="Normal"/>
    <w:link w:val="BodyTextIndentChar"/>
    <w:uiPriority w:val="99"/>
    <w:semiHidden/>
    <w:unhideWhenUsed/>
    <w:rsid w:val="009E469E"/>
    <w:pPr>
      <w:spacing w:after="120"/>
      <w:ind w:left="283"/>
    </w:pPr>
  </w:style>
  <w:style w:type="character" w:customStyle="1" w:styleId="BodyTextIndentChar">
    <w:name w:val="Body Text Indent Char"/>
    <w:basedOn w:val="DefaultParagraphFont"/>
    <w:link w:val="BodyTextIndent"/>
    <w:uiPriority w:val="99"/>
    <w:semiHidden/>
    <w:rsid w:val="009E469E"/>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29475">
      <w:bodyDiv w:val="1"/>
      <w:marLeft w:val="0"/>
      <w:marRight w:val="0"/>
      <w:marTop w:val="0"/>
      <w:marBottom w:val="0"/>
      <w:divBdr>
        <w:top w:val="none" w:sz="0" w:space="0" w:color="auto"/>
        <w:left w:val="none" w:sz="0" w:space="0" w:color="auto"/>
        <w:bottom w:val="none" w:sz="0" w:space="0" w:color="auto"/>
        <w:right w:val="none" w:sz="0" w:space="0" w:color="auto"/>
      </w:divBdr>
    </w:div>
    <w:div w:id="136996922">
      <w:bodyDiv w:val="1"/>
      <w:marLeft w:val="0"/>
      <w:marRight w:val="0"/>
      <w:marTop w:val="0"/>
      <w:marBottom w:val="0"/>
      <w:divBdr>
        <w:top w:val="none" w:sz="0" w:space="0" w:color="auto"/>
        <w:left w:val="none" w:sz="0" w:space="0" w:color="auto"/>
        <w:bottom w:val="none" w:sz="0" w:space="0" w:color="auto"/>
        <w:right w:val="none" w:sz="0" w:space="0" w:color="auto"/>
      </w:divBdr>
    </w:div>
    <w:div w:id="168908201">
      <w:bodyDiv w:val="1"/>
      <w:marLeft w:val="0"/>
      <w:marRight w:val="0"/>
      <w:marTop w:val="0"/>
      <w:marBottom w:val="0"/>
      <w:divBdr>
        <w:top w:val="none" w:sz="0" w:space="0" w:color="auto"/>
        <w:left w:val="none" w:sz="0" w:space="0" w:color="auto"/>
        <w:bottom w:val="none" w:sz="0" w:space="0" w:color="auto"/>
        <w:right w:val="none" w:sz="0" w:space="0" w:color="auto"/>
      </w:divBdr>
    </w:div>
    <w:div w:id="238751639">
      <w:bodyDiv w:val="1"/>
      <w:marLeft w:val="0"/>
      <w:marRight w:val="0"/>
      <w:marTop w:val="0"/>
      <w:marBottom w:val="0"/>
      <w:divBdr>
        <w:top w:val="none" w:sz="0" w:space="0" w:color="auto"/>
        <w:left w:val="none" w:sz="0" w:space="0" w:color="auto"/>
        <w:bottom w:val="none" w:sz="0" w:space="0" w:color="auto"/>
        <w:right w:val="none" w:sz="0" w:space="0" w:color="auto"/>
      </w:divBdr>
    </w:div>
    <w:div w:id="398139992">
      <w:bodyDiv w:val="1"/>
      <w:marLeft w:val="0"/>
      <w:marRight w:val="0"/>
      <w:marTop w:val="0"/>
      <w:marBottom w:val="0"/>
      <w:divBdr>
        <w:top w:val="none" w:sz="0" w:space="0" w:color="auto"/>
        <w:left w:val="none" w:sz="0" w:space="0" w:color="auto"/>
        <w:bottom w:val="none" w:sz="0" w:space="0" w:color="auto"/>
        <w:right w:val="none" w:sz="0" w:space="0" w:color="auto"/>
      </w:divBdr>
    </w:div>
    <w:div w:id="408775092">
      <w:bodyDiv w:val="1"/>
      <w:marLeft w:val="0"/>
      <w:marRight w:val="0"/>
      <w:marTop w:val="0"/>
      <w:marBottom w:val="0"/>
      <w:divBdr>
        <w:top w:val="none" w:sz="0" w:space="0" w:color="auto"/>
        <w:left w:val="none" w:sz="0" w:space="0" w:color="auto"/>
        <w:bottom w:val="none" w:sz="0" w:space="0" w:color="auto"/>
        <w:right w:val="none" w:sz="0" w:space="0" w:color="auto"/>
      </w:divBdr>
    </w:div>
    <w:div w:id="516816993">
      <w:bodyDiv w:val="1"/>
      <w:marLeft w:val="0"/>
      <w:marRight w:val="0"/>
      <w:marTop w:val="0"/>
      <w:marBottom w:val="0"/>
      <w:divBdr>
        <w:top w:val="none" w:sz="0" w:space="0" w:color="auto"/>
        <w:left w:val="none" w:sz="0" w:space="0" w:color="auto"/>
        <w:bottom w:val="none" w:sz="0" w:space="0" w:color="auto"/>
        <w:right w:val="none" w:sz="0" w:space="0" w:color="auto"/>
      </w:divBdr>
    </w:div>
    <w:div w:id="524558812">
      <w:bodyDiv w:val="1"/>
      <w:marLeft w:val="0"/>
      <w:marRight w:val="0"/>
      <w:marTop w:val="0"/>
      <w:marBottom w:val="0"/>
      <w:divBdr>
        <w:top w:val="none" w:sz="0" w:space="0" w:color="auto"/>
        <w:left w:val="none" w:sz="0" w:space="0" w:color="auto"/>
        <w:bottom w:val="none" w:sz="0" w:space="0" w:color="auto"/>
        <w:right w:val="none" w:sz="0" w:space="0" w:color="auto"/>
      </w:divBdr>
    </w:div>
    <w:div w:id="527370980">
      <w:bodyDiv w:val="1"/>
      <w:marLeft w:val="0"/>
      <w:marRight w:val="0"/>
      <w:marTop w:val="0"/>
      <w:marBottom w:val="0"/>
      <w:divBdr>
        <w:top w:val="none" w:sz="0" w:space="0" w:color="auto"/>
        <w:left w:val="none" w:sz="0" w:space="0" w:color="auto"/>
        <w:bottom w:val="none" w:sz="0" w:space="0" w:color="auto"/>
        <w:right w:val="none" w:sz="0" w:space="0" w:color="auto"/>
      </w:divBdr>
    </w:div>
    <w:div w:id="607808309">
      <w:bodyDiv w:val="1"/>
      <w:marLeft w:val="0"/>
      <w:marRight w:val="0"/>
      <w:marTop w:val="0"/>
      <w:marBottom w:val="0"/>
      <w:divBdr>
        <w:top w:val="none" w:sz="0" w:space="0" w:color="auto"/>
        <w:left w:val="none" w:sz="0" w:space="0" w:color="auto"/>
        <w:bottom w:val="none" w:sz="0" w:space="0" w:color="auto"/>
        <w:right w:val="none" w:sz="0" w:space="0" w:color="auto"/>
      </w:divBdr>
    </w:div>
    <w:div w:id="631254436">
      <w:bodyDiv w:val="1"/>
      <w:marLeft w:val="0"/>
      <w:marRight w:val="0"/>
      <w:marTop w:val="0"/>
      <w:marBottom w:val="0"/>
      <w:divBdr>
        <w:top w:val="none" w:sz="0" w:space="0" w:color="auto"/>
        <w:left w:val="none" w:sz="0" w:space="0" w:color="auto"/>
        <w:bottom w:val="none" w:sz="0" w:space="0" w:color="auto"/>
        <w:right w:val="none" w:sz="0" w:space="0" w:color="auto"/>
      </w:divBdr>
    </w:div>
    <w:div w:id="729965782">
      <w:bodyDiv w:val="1"/>
      <w:marLeft w:val="0"/>
      <w:marRight w:val="0"/>
      <w:marTop w:val="0"/>
      <w:marBottom w:val="0"/>
      <w:divBdr>
        <w:top w:val="none" w:sz="0" w:space="0" w:color="auto"/>
        <w:left w:val="none" w:sz="0" w:space="0" w:color="auto"/>
        <w:bottom w:val="none" w:sz="0" w:space="0" w:color="auto"/>
        <w:right w:val="none" w:sz="0" w:space="0" w:color="auto"/>
      </w:divBdr>
    </w:div>
    <w:div w:id="792402284">
      <w:bodyDiv w:val="1"/>
      <w:marLeft w:val="0"/>
      <w:marRight w:val="0"/>
      <w:marTop w:val="0"/>
      <w:marBottom w:val="0"/>
      <w:divBdr>
        <w:top w:val="none" w:sz="0" w:space="0" w:color="auto"/>
        <w:left w:val="none" w:sz="0" w:space="0" w:color="auto"/>
        <w:bottom w:val="none" w:sz="0" w:space="0" w:color="auto"/>
        <w:right w:val="none" w:sz="0" w:space="0" w:color="auto"/>
      </w:divBdr>
    </w:div>
    <w:div w:id="893079767">
      <w:bodyDiv w:val="1"/>
      <w:marLeft w:val="0"/>
      <w:marRight w:val="0"/>
      <w:marTop w:val="0"/>
      <w:marBottom w:val="0"/>
      <w:divBdr>
        <w:top w:val="none" w:sz="0" w:space="0" w:color="auto"/>
        <w:left w:val="none" w:sz="0" w:space="0" w:color="auto"/>
        <w:bottom w:val="none" w:sz="0" w:space="0" w:color="auto"/>
        <w:right w:val="none" w:sz="0" w:space="0" w:color="auto"/>
      </w:divBdr>
    </w:div>
    <w:div w:id="940915998">
      <w:bodyDiv w:val="1"/>
      <w:marLeft w:val="0"/>
      <w:marRight w:val="0"/>
      <w:marTop w:val="0"/>
      <w:marBottom w:val="0"/>
      <w:divBdr>
        <w:top w:val="none" w:sz="0" w:space="0" w:color="auto"/>
        <w:left w:val="none" w:sz="0" w:space="0" w:color="auto"/>
        <w:bottom w:val="none" w:sz="0" w:space="0" w:color="auto"/>
        <w:right w:val="none" w:sz="0" w:space="0" w:color="auto"/>
      </w:divBdr>
    </w:div>
    <w:div w:id="955331918">
      <w:bodyDiv w:val="1"/>
      <w:marLeft w:val="0"/>
      <w:marRight w:val="0"/>
      <w:marTop w:val="0"/>
      <w:marBottom w:val="0"/>
      <w:divBdr>
        <w:top w:val="none" w:sz="0" w:space="0" w:color="auto"/>
        <w:left w:val="none" w:sz="0" w:space="0" w:color="auto"/>
        <w:bottom w:val="none" w:sz="0" w:space="0" w:color="auto"/>
        <w:right w:val="none" w:sz="0" w:space="0" w:color="auto"/>
      </w:divBdr>
    </w:div>
    <w:div w:id="1016033266">
      <w:bodyDiv w:val="1"/>
      <w:marLeft w:val="0"/>
      <w:marRight w:val="0"/>
      <w:marTop w:val="0"/>
      <w:marBottom w:val="0"/>
      <w:divBdr>
        <w:top w:val="none" w:sz="0" w:space="0" w:color="auto"/>
        <w:left w:val="none" w:sz="0" w:space="0" w:color="auto"/>
        <w:bottom w:val="none" w:sz="0" w:space="0" w:color="auto"/>
        <w:right w:val="none" w:sz="0" w:space="0" w:color="auto"/>
      </w:divBdr>
    </w:div>
    <w:div w:id="1073088808">
      <w:bodyDiv w:val="1"/>
      <w:marLeft w:val="0"/>
      <w:marRight w:val="0"/>
      <w:marTop w:val="0"/>
      <w:marBottom w:val="0"/>
      <w:divBdr>
        <w:top w:val="none" w:sz="0" w:space="0" w:color="auto"/>
        <w:left w:val="none" w:sz="0" w:space="0" w:color="auto"/>
        <w:bottom w:val="none" w:sz="0" w:space="0" w:color="auto"/>
        <w:right w:val="none" w:sz="0" w:space="0" w:color="auto"/>
      </w:divBdr>
    </w:div>
    <w:div w:id="1117213130">
      <w:bodyDiv w:val="1"/>
      <w:marLeft w:val="0"/>
      <w:marRight w:val="0"/>
      <w:marTop w:val="0"/>
      <w:marBottom w:val="0"/>
      <w:divBdr>
        <w:top w:val="none" w:sz="0" w:space="0" w:color="auto"/>
        <w:left w:val="none" w:sz="0" w:space="0" w:color="auto"/>
        <w:bottom w:val="none" w:sz="0" w:space="0" w:color="auto"/>
        <w:right w:val="none" w:sz="0" w:space="0" w:color="auto"/>
      </w:divBdr>
    </w:div>
    <w:div w:id="1297905264">
      <w:bodyDiv w:val="1"/>
      <w:marLeft w:val="0"/>
      <w:marRight w:val="0"/>
      <w:marTop w:val="0"/>
      <w:marBottom w:val="0"/>
      <w:divBdr>
        <w:top w:val="none" w:sz="0" w:space="0" w:color="auto"/>
        <w:left w:val="none" w:sz="0" w:space="0" w:color="auto"/>
        <w:bottom w:val="none" w:sz="0" w:space="0" w:color="auto"/>
        <w:right w:val="none" w:sz="0" w:space="0" w:color="auto"/>
      </w:divBdr>
    </w:div>
    <w:div w:id="1345280184">
      <w:bodyDiv w:val="1"/>
      <w:marLeft w:val="0"/>
      <w:marRight w:val="0"/>
      <w:marTop w:val="0"/>
      <w:marBottom w:val="0"/>
      <w:divBdr>
        <w:top w:val="none" w:sz="0" w:space="0" w:color="auto"/>
        <w:left w:val="none" w:sz="0" w:space="0" w:color="auto"/>
        <w:bottom w:val="none" w:sz="0" w:space="0" w:color="auto"/>
        <w:right w:val="none" w:sz="0" w:space="0" w:color="auto"/>
      </w:divBdr>
    </w:div>
    <w:div w:id="1429082455">
      <w:bodyDiv w:val="1"/>
      <w:marLeft w:val="0"/>
      <w:marRight w:val="0"/>
      <w:marTop w:val="0"/>
      <w:marBottom w:val="0"/>
      <w:divBdr>
        <w:top w:val="none" w:sz="0" w:space="0" w:color="auto"/>
        <w:left w:val="none" w:sz="0" w:space="0" w:color="auto"/>
        <w:bottom w:val="none" w:sz="0" w:space="0" w:color="auto"/>
        <w:right w:val="none" w:sz="0" w:space="0" w:color="auto"/>
      </w:divBdr>
    </w:div>
    <w:div w:id="1469782901">
      <w:bodyDiv w:val="1"/>
      <w:marLeft w:val="0"/>
      <w:marRight w:val="0"/>
      <w:marTop w:val="0"/>
      <w:marBottom w:val="0"/>
      <w:divBdr>
        <w:top w:val="none" w:sz="0" w:space="0" w:color="auto"/>
        <w:left w:val="none" w:sz="0" w:space="0" w:color="auto"/>
        <w:bottom w:val="none" w:sz="0" w:space="0" w:color="auto"/>
        <w:right w:val="none" w:sz="0" w:space="0" w:color="auto"/>
      </w:divBdr>
    </w:div>
    <w:div w:id="1509908719">
      <w:bodyDiv w:val="1"/>
      <w:marLeft w:val="0"/>
      <w:marRight w:val="0"/>
      <w:marTop w:val="0"/>
      <w:marBottom w:val="0"/>
      <w:divBdr>
        <w:top w:val="none" w:sz="0" w:space="0" w:color="auto"/>
        <w:left w:val="none" w:sz="0" w:space="0" w:color="auto"/>
        <w:bottom w:val="none" w:sz="0" w:space="0" w:color="auto"/>
        <w:right w:val="none" w:sz="0" w:space="0" w:color="auto"/>
      </w:divBdr>
    </w:div>
    <w:div w:id="1533112602">
      <w:bodyDiv w:val="1"/>
      <w:marLeft w:val="0"/>
      <w:marRight w:val="0"/>
      <w:marTop w:val="0"/>
      <w:marBottom w:val="0"/>
      <w:divBdr>
        <w:top w:val="none" w:sz="0" w:space="0" w:color="auto"/>
        <w:left w:val="none" w:sz="0" w:space="0" w:color="auto"/>
        <w:bottom w:val="none" w:sz="0" w:space="0" w:color="auto"/>
        <w:right w:val="none" w:sz="0" w:space="0" w:color="auto"/>
      </w:divBdr>
    </w:div>
    <w:div w:id="1585914410">
      <w:bodyDiv w:val="1"/>
      <w:marLeft w:val="0"/>
      <w:marRight w:val="0"/>
      <w:marTop w:val="0"/>
      <w:marBottom w:val="0"/>
      <w:divBdr>
        <w:top w:val="none" w:sz="0" w:space="0" w:color="auto"/>
        <w:left w:val="none" w:sz="0" w:space="0" w:color="auto"/>
        <w:bottom w:val="none" w:sz="0" w:space="0" w:color="auto"/>
        <w:right w:val="none" w:sz="0" w:space="0" w:color="auto"/>
      </w:divBdr>
    </w:div>
    <w:div w:id="1593472264">
      <w:bodyDiv w:val="1"/>
      <w:marLeft w:val="0"/>
      <w:marRight w:val="0"/>
      <w:marTop w:val="0"/>
      <w:marBottom w:val="0"/>
      <w:divBdr>
        <w:top w:val="none" w:sz="0" w:space="0" w:color="auto"/>
        <w:left w:val="none" w:sz="0" w:space="0" w:color="auto"/>
        <w:bottom w:val="none" w:sz="0" w:space="0" w:color="auto"/>
        <w:right w:val="none" w:sz="0" w:space="0" w:color="auto"/>
      </w:divBdr>
    </w:div>
    <w:div w:id="1657027480">
      <w:bodyDiv w:val="1"/>
      <w:marLeft w:val="0"/>
      <w:marRight w:val="0"/>
      <w:marTop w:val="0"/>
      <w:marBottom w:val="0"/>
      <w:divBdr>
        <w:top w:val="none" w:sz="0" w:space="0" w:color="auto"/>
        <w:left w:val="none" w:sz="0" w:space="0" w:color="auto"/>
        <w:bottom w:val="none" w:sz="0" w:space="0" w:color="auto"/>
        <w:right w:val="none" w:sz="0" w:space="0" w:color="auto"/>
      </w:divBdr>
    </w:div>
    <w:div w:id="1671178372">
      <w:bodyDiv w:val="1"/>
      <w:marLeft w:val="0"/>
      <w:marRight w:val="0"/>
      <w:marTop w:val="0"/>
      <w:marBottom w:val="0"/>
      <w:divBdr>
        <w:top w:val="none" w:sz="0" w:space="0" w:color="auto"/>
        <w:left w:val="none" w:sz="0" w:space="0" w:color="auto"/>
        <w:bottom w:val="none" w:sz="0" w:space="0" w:color="auto"/>
        <w:right w:val="none" w:sz="0" w:space="0" w:color="auto"/>
      </w:divBdr>
    </w:div>
    <w:div w:id="1679311686">
      <w:bodyDiv w:val="1"/>
      <w:marLeft w:val="0"/>
      <w:marRight w:val="0"/>
      <w:marTop w:val="0"/>
      <w:marBottom w:val="0"/>
      <w:divBdr>
        <w:top w:val="none" w:sz="0" w:space="0" w:color="auto"/>
        <w:left w:val="none" w:sz="0" w:space="0" w:color="auto"/>
        <w:bottom w:val="none" w:sz="0" w:space="0" w:color="auto"/>
        <w:right w:val="none" w:sz="0" w:space="0" w:color="auto"/>
      </w:divBdr>
    </w:div>
    <w:div w:id="1770663399">
      <w:bodyDiv w:val="1"/>
      <w:marLeft w:val="0"/>
      <w:marRight w:val="0"/>
      <w:marTop w:val="0"/>
      <w:marBottom w:val="0"/>
      <w:divBdr>
        <w:top w:val="none" w:sz="0" w:space="0" w:color="auto"/>
        <w:left w:val="none" w:sz="0" w:space="0" w:color="auto"/>
        <w:bottom w:val="none" w:sz="0" w:space="0" w:color="auto"/>
        <w:right w:val="none" w:sz="0" w:space="0" w:color="auto"/>
      </w:divBdr>
    </w:div>
    <w:div w:id="1798838366">
      <w:bodyDiv w:val="1"/>
      <w:marLeft w:val="0"/>
      <w:marRight w:val="0"/>
      <w:marTop w:val="0"/>
      <w:marBottom w:val="0"/>
      <w:divBdr>
        <w:top w:val="none" w:sz="0" w:space="0" w:color="auto"/>
        <w:left w:val="none" w:sz="0" w:space="0" w:color="auto"/>
        <w:bottom w:val="none" w:sz="0" w:space="0" w:color="auto"/>
        <w:right w:val="none" w:sz="0" w:space="0" w:color="auto"/>
      </w:divBdr>
    </w:div>
    <w:div w:id="1804928064">
      <w:bodyDiv w:val="1"/>
      <w:marLeft w:val="0"/>
      <w:marRight w:val="0"/>
      <w:marTop w:val="0"/>
      <w:marBottom w:val="0"/>
      <w:divBdr>
        <w:top w:val="none" w:sz="0" w:space="0" w:color="auto"/>
        <w:left w:val="none" w:sz="0" w:space="0" w:color="auto"/>
        <w:bottom w:val="none" w:sz="0" w:space="0" w:color="auto"/>
        <w:right w:val="none" w:sz="0" w:space="0" w:color="auto"/>
      </w:divBdr>
    </w:div>
    <w:div w:id="1880966581">
      <w:bodyDiv w:val="1"/>
      <w:marLeft w:val="0"/>
      <w:marRight w:val="0"/>
      <w:marTop w:val="0"/>
      <w:marBottom w:val="0"/>
      <w:divBdr>
        <w:top w:val="none" w:sz="0" w:space="0" w:color="auto"/>
        <w:left w:val="none" w:sz="0" w:space="0" w:color="auto"/>
        <w:bottom w:val="none" w:sz="0" w:space="0" w:color="auto"/>
        <w:right w:val="none" w:sz="0" w:space="0" w:color="auto"/>
      </w:divBdr>
    </w:div>
    <w:div w:id="1913346278">
      <w:bodyDiv w:val="1"/>
      <w:marLeft w:val="0"/>
      <w:marRight w:val="0"/>
      <w:marTop w:val="0"/>
      <w:marBottom w:val="0"/>
      <w:divBdr>
        <w:top w:val="none" w:sz="0" w:space="0" w:color="auto"/>
        <w:left w:val="none" w:sz="0" w:space="0" w:color="auto"/>
        <w:bottom w:val="none" w:sz="0" w:space="0" w:color="auto"/>
        <w:right w:val="none" w:sz="0" w:space="0" w:color="auto"/>
      </w:divBdr>
    </w:div>
    <w:div w:id="2083093370">
      <w:bodyDiv w:val="1"/>
      <w:marLeft w:val="0"/>
      <w:marRight w:val="0"/>
      <w:marTop w:val="0"/>
      <w:marBottom w:val="0"/>
      <w:divBdr>
        <w:top w:val="none" w:sz="0" w:space="0" w:color="auto"/>
        <w:left w:val="none" w:sz="0" w:space="0" w:color="auto"/>
        <w:bottom w:val="none" w:sz="0" w:space="0" w:color="auto"/>
        <w:right w:val="none" w:sz="0" w:space="0" w:color="auto"/>
      </w:divBdr>
    </w:div>
    <w:div w:id="209381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D3A8B-F9D4-4C05-A49E-221657EA7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4</Pages>
  <Words>826</Words>
  <Characters>4710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Nguyên Lê</dc:creator>
  <cp:keywords/>
  <dc:description/>
  <cp:lastModifiedBy>Windows User</cp:lastModifiedBy>
  <cp:revision>6</cp:revision>
  <cp:lastPrinted>2024-09-05T12:17:00Z</cp:lastPrinted>
  <dcterms:created xsi:type="dcterms:W3CDTF">2024-11-08T07:56:00Z</dcterms:created>
  <dcterms:modified xsi:type="dcterms:W3CDTF">2024-11-08T10:50:00Z</dcterms:modified>
</cp:coreProperties>
</file>